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color w:val="000000"/>
          <w:sz w:val="44"/>
        </w:rPr>
      </w:pPr>
    </w:p>
    <w:p>
      <w:pPr>
        <w:spacing w:line="520" w:lineRule="exact"/>
        <w:jc w:val="center"/>
        <w:rPr>
          <w:rFonts w:hint="eastAsia" w:ascii="宋体" w:hAnsi="宋体" w:eastAsia="宋体" w:cs="宋体"/>
          <w:b/>
          <w:color w:val="000000"/>
          <w:sz w:val="44"/>
        </w:rPr>
      </w:pPr>
      <w:r>
        <w:rPr>
          <w:rFonts w:hint="eastAsia" w:ascii="宋体" w:hAnsi="宋体" w:eastAsia="宋体" w:cs="宋体"/>
          <w:b/>
          <w:color w:val="000000"/>
          <w:sz w:val="44"/>
        </w:rPr>
        <w:t>长沙汇富中心充电站项目</w:t>
      </w:r>
    </w:p>
    <w:p>
      <w:pPr>
        <w:pStyle w:val="7"/>
        <w:spacing w:line="400" w:lineRule="atLeast"/>
        <w:jc w:val="center"/>
        <w:rPr>
          <w:rFonts w:hint="eastAsia" w:ascii="宋体" w:hAnsi="宋体" w:eastAsia="宋体" w:cs="宋体"/>
          <w:b/>
          <w:bCs/>
          <w:color w:val="000000"/>
          <w:sz w:val="100"/>
          <w:szCs w:val="100"/>
        </w:rPr>
      </w:pPr>
    </w:p>
    <w:p>
      <w:pPr>
        <w:pStyle w:val="7"/>
        <w:spacing w:line="400" w:lineRule="atLeast"/>
        <w:jc w:val="center"/>
        <w:rPr>
          <w:rFonts w:hint="eastAsia" w:ascii="宋体" w:hAnsi="宋体" w:eastAsia="宋体" w:cs="宋体"/>
          <w:b/>
          <w:bCs/>
          <w:color w:val="000000"/>
          <w:sz w:val="100"/>
          <w:szCs w:val="100"/>
        </w:rPr>
      </w:pPr>
    </w:p>
    <w:p>
      <w:pPr>
        <w:pStyle w:val="7"/>
        <w:spacing w:line="400" w:lineRule="atLeast"/>
        <w:jc w:val="center"/>
        <w:rPr>
          <w:rFonts w:hint="eastAsia" w:ascii="宋体" w:hAnsi="宋体" w:eastAsia="宋体" w:cs="宋体"/>
          <w:b/>
          <w:bCs/>
          <w:color w:val="000000"/>
          <w:sz w:val="100"/>
          <w:szCs w:val="100"/>
        </w:rPr>
      </w:pPr>
      <w:r>
        <w:rPr>
          <w:rFonts w:hint="eastAsia" w:ascii="宋体" w:hAnsi="宋体" w:eastAsia="宋体" w:cs="宋体"/>
          <w:b/>
          <w:bCs/>
          <w:color w:val="000000"/>
          <w:sz w:val="100"/>
          <w:szCs w:val="100"/>
        </w:rPr>
        <w:t>招标文件</w:t>
      </w:r>
    </w:p>
    <w:p>
      <w:pPr>
        <w:spacing w:line="520" w:lineRule="exact"/>
        <w:jc w:val="center"/>
        <w:rPr>
          <w:rFonts w:hint="eastAsia" w:ascii="宋体" w:hAnsi="宋体" w:eastAsia="宋体" w:cs="宋体"/>
          <w:color w:val="000000"/>
          <w:sz w:val="44"/>
          <w:szCs w:val="24"/>
        </w:rPr>
      </w:pPr>
    </w:p>
    <w:p>
      <w:pPr>
        <w:spacing w:line="520" w:lineRule="exact"/>
        <w:jc w:val="center"/>
        <w:rPr>
          <w:rFonts w:hint="eastAsia" w:ascii="宋体" w:hAnsi="宋体" w:eastAsia="宋体" w:cs="宋体"/>
          <w:color w:val="000000"/>
          <w:sz w:val="44"/>
        </w:rPr>
      </w:pPr>
    </w:p>
    <w:p>
      <w:pPr>
        <w:spacing w:line="520" w:lineRule="exact"/>
        <w:rPr>
          <w:rFonts w:hint="eastAsia" w:ascii="宋体" w:hAnsi="宋体" w:eastAsia="宋体" w:cs="宋体"/>
          <w:color w:val="000000"/>
          <w:sz w:val="30"/>
        </w:rPr>
      </w:pPr>
    </w:p>
    <w:p>
      <w:pPr>
        <w:jc w:val="left"/>
        <w:rPr>
          <w:rFonts w:hint="eastAsia" w:ascii="宋体" w:hAnsi="宋体" w:eastAsia="宋体" w:cs="宋体"/>
          <w:sz w:val="32"/>
          <w:szCs w:val="32"/>
        </w:rPr>
      </w:pPr>
    </w:p>
    <w:p>
      <w:pPr>
        <w:ind w:left="2558" w:leftChars="304" w:hanging="1920" w:hangingChars="600"/>
        <w:jc w:val="left"/>
        <w:rPr>
          <w:rFonts w:hint="eastAsia" w:ascii="宋体" w:hAnsi="宋体" w:eastAsia="宋体" w:cs="宋体"/>
          <w:sz w:val="32"/>
          <w:szCs w:val="32"/>
          <w:u w:val="single"/>
        </w:rPr>
      </w:pPr>
      <w:r>
        <w:rPr>
          <w:rFonts w:hint="eastAsia" w:ascii="宋体" w:hAnsi="宋体" w:eastAsia="宋体" w:cs="宋体"/>
          <w:sz w:val="32"/>
          <w:szCs w:val="32"/>
        </w:rPr>
        <w:t>项目名称：</w:t>
      </w:r>
      <w:r>
        <w:rPr>
          <w:rFonts w:hint="eastAsia" w:ascii="宋体" w:hAnsi="宋体" w:eastAsia="宋体" w:cs="宋体"/>
          <w:sz w:val="30"/>
          <w:szCs w:val="30"/>
          <w:u w:val="single"/>
        </w:rPr>
        <w:t>长沙汇富中心充电站项目</w:t>
      </w:r>
    </w:p>
    <w:p>
      <w:pPr>
        <w:ind w:firstLine="640" w:firstLineChars="200"/>
        <w:rPr>
          <w:rFonts w:hint="eastAsia" w:ascii="宋体" w:hAnsi="宋体" w:eastAsia="宋体" w:cs="宋体"/>
          <w:sz w:val="32"/>
          <w:szCs w:val="32"/>
          <w:u w:val="single"/>
        </w:rPr>
      </w:pPr>
      <w:r>
        <w:rPr>
          <w:rFonts w:hint="eastAsia" w:ascii="宋体" w:hAnsi="宋体" w:eastAsia="宋体" w:cs="宋体"/>
          <w:sz w:val="32"/>
          <w:szCs w:val="32"/>
        </w:rPr>
        <w:t>采 购 人：</w:t>
      </w:r>
      <w:r>
        <w:rPr>
          <w:rFonts w:hint="eastAsia" w:ascii="宋体" w:hAnsi="宋体" w:eastAsia="宋体" w:cs="宋体"/>
          <w:sz w:val="32"/>
          <w:szCs w:val="32"/>
          <w:u w:val="single"/>
        </w:rPr>
        <w:t>湖南中昌新能源有限公司</w:t>
      </w:r>
    </w:p>
    <w:p>
      <w:pPr>
        <w:ind w:firstLine="640" w:firstLineChars="200"/>
        <w:rPr>
          <w:rFonts w:hint="eastAsia" w:ascii="宋体" w:hAnsi="宋体" w:eastAsia="宋体" w:cs="宋体"/>
          <w:sz w:val="32"/>
          <w:szCs w:val="32"/>
          <w:u w:val="single"/>
        </w:rPr>
      </w:pPr>
      <w:r>
        <w:rPr>
          <w:rFonts w:hint="eastAsia" w:ascii="宋体" w:hAnsi="宋体" w:eastAsia="宋体" w:cs="宋体"/>
          <w:sz w:val="32"/>
          <w:szCs w:val="32"/>
        </w:rPr>
        <w:t>委托代理编号:</w:t>
      </w:r>
      <w:r>
        <w:rPr>
          <w:rFonts w:hint="eastAsia" w:ascii="宋体" w:hAnsi="宋体" w:eastAsia="宋体" w:cs="宋体"/>
        </w:rPr>
        <w:t xml:space="preserve"> </w:t>
      </w:r>
      <w:r>
        <w:rPr>
          <w:rFonts w:hint="eastAsia" w:ascii="宋体" w:hAnsi="宋体" w:eastAsia="宋体" w:cs="宋体"/>
          <w:sz w:val="32"/>
          <w:szCs w:val="32"/>
          <w:u w:val="single"/>
        </w:rPr>
        <w:t>HNDJ-2024050</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采购代理机构:</w:t>
      </w:r>
      <w:r>
        <w:rPr>
          <w:rFonts w:hint="eastAsia" w:ascii="宋体" w:hAnsi="宋体" w:eastAsia="宋体" w:cs="宋体"/>
          <w:color w:val="000000"/>
        </w:rPr>
        <w:t xml:space="preserve"> </w:t>
      </w:r>
      <w:r>
        <w:rPr>
          <w:rFonts w:hint="eastAsia" w:ascii="宋体" w:hAnsi="宋体" w:eastAsia="宋体" w:cs="宋体"/>
          <w:sz w:val="32"/>
          <w:szCs w:val="32"/>
          <w:u w:val="single"/>
        </w:rPr>
        <w:t>湖南东君项目管理有限公司</w:t>
      </w:r>
      <w:r>
        <w:rPr>
          <w:rFonts w:hint="eastAsia" w:ascii="宋体" w:hAnsi="宋体" w:eastAsia="宋体" w:cs="宋体"/>
          <w:sz w:val="32"/>
          <w:szCs w:val="32"/>
        </w:rPr>
        <w:t xml:space="preserve"> </w:t>
      </w:r>
    </w:p>
    <w:p>
      <w:pPr>
        <w:spacing w:line="400" w:lineRule="atLeast"/>
        <w:ind w:firstLine="470" w:firstLineChars="196"/>
        <w:rPr>
          <w:rFonts w:hint="eastAsia" w:ascii="宋体" w:hAnsi="宋体" w:eastAsia="宋体" w:cs="宋体"/>
          <w:color w:val="000000"/>
          <w:sz w:val="24"/>
          <w:szCs w:val="24"/>
        </w:rPr>
      </w:pPr>
    </w:p>
    <w:p>
      <w:pPr>
        <w:pStyle w:val="7"/>
        <w:adjustRightInd w:val="0"/>
        <w:snapToGrid w:val="0"/>
        <w:spacing w:line="360" w:lineRule="auto"/>
        <w:rPr>
          <w:rFonts w:hint="eastAsia" w:ascii="宋体" w:hAnsi="宋体" w:eastAsia="宋体" w:cs="宋体"/>
          <w:color w:val="000000"/>
          <w:spacing w:val="80"/>
          <w:sz w:val="36"/>
        </w:rPr>
      </w:pPr>
    </w:p>
    <w:p>
      <w:pPr>
        <w:pStyle w:val="7"/>
        <w:adjustRightInd w:val="0"/>
        <w:snapToGrid w:val="0"/>
        <w:spacing w:line="360" w:lineRule="auto"/>
        <w:jc w:val="center"/>
        <w:rPr>
          <w:rFonts w:hint="eastAsia" w:ascii="宋体" w:hAnsi="宋体" w:eastAsia="宋体" w:cs="宋体"/>
          <w:color w:val="000000"/>
          <w:spacing w:val="80"/>
          <w:sz w:val="36"/>
        </w:rPr>
      </w:pPr>
      <w:r>
        <w:rPr>
          <w:rFonts w:hint="eastAsia" w:ascii="宋体" w:hAnsi="宋体" w:eastAsia="宋体" w:cs="宋体"/>
          <w:sz w:val="32"/>
          <w:szCs w:val="32"/>
        </w:rPr>
        <w:t>二〇二四年二月</w:t>
      </w:r>
      <w:r>
        <w:rPr>
          <w:rFonts w:hint="eastAsia" w:ascii="宋体" w:hAnsi="宋体" w:eastAsia="宋体" w:cs="宋体"/>
          <w:color w:val="000000"/>
          <w:spacing w:val="80"/>
          <w:sz w:val="36"/>
        </w:rPr>
        <w:br w:type="page"/>
      </w:r>
    </w:p>
    <w:p>
      <w:pPr>
        <w:pStyle w:val="7"/>
        <w:adjustRightInd w:val="0"/>
        <w:snapToGrid w:val="0"/>
        <w:spacing w:line="360" w:lineRule="auto"/>
        <w:jc w:val="center"/>
        <w:rPr>
          <w:rFonts w:hint="eastAsia" w:ascii="宋体" w:hAnsi="宋体" w:eastAsia="宋体" w:cs="宋体"/>
          <w:b/>
          <w:color w:val="000000"/>
          <w:spacing w:val="160"/>
          <w:sz w:val="44"/>
          <w:szCs w:val="44"/>
        </w:rPr>
      </w:pPr>
      <w:r>
        <w:rPr>
          <w:rFonts w:hint="eastAsia" w:ascii="宋体" w:hAnsi="宋体" w:eastAsia="宋体" w:cs="宋体"/>
          <w:b/>
          <w:color w:val="000000"/>
          <w:spacing w:val="160"/>
          <w:sz w:val="44"/>
          <w:szCs w:val="44"/>
        </w:rPr>
        <w:t>目录</w:t>
      </w:r>
    </w:p>
    <w:p>
      <w:pPr>
        <w:pStyle w:val="11"/>
        <w:tabs>
          <w:tab w:val="right" w:leader="dot" w:pos="8834"/>
        </w:tabs>
        <w:rPr>
          <w:rFonts w:hint="eastAsia" w:ascii="宋体" w:hAnsi="宋体" w:eastAsia="宋体" w:cs="宋体"/>
          <w:color w:val="000000"/>
          <w:sz w:val="28"/>
          <w:szCs w:val="28"/>
        </w:rPr>
      </w:pPr>
      <w:r>
        <w:rPr>
          <w:rFonts w:hint="eastAsia" w:ascii="宋体" w:hAnsi="宋体" w:eastAsia="宋体" w:cs="宋体"/>
          <w:b/>
          <w:color w:val="000000"/>
          <w:spacing w:val="160"/>
          <w:sz w:val="28"/>
          <w:szCs w:val="28"/>
        </w:rPr>
        <w:fldChar w:fldCharType="begin"/>
      </w:r>
      <w:r>
        <w:rPr>
          <w:rFonts w:hint="eastAsia" w:ascii="宋体" w:hAnsi="宋体" w:eastAsia="宋体" w:cs="宋体"/>
          <w:b/>
          <w:color w:val="000000"/>
          <w:spacing w:val="160"/>
          <w:sz w:val="28"/>
          <w:szCs w:val="28"/>
        </w:rPr>
        <w:instrText xml:space="preserve"> TOC \o "1-3" \h \z \u </w:instrText>
      </w:r>
      <w:r>
        <w:rPr>
          <w:rFonts w:hint="eastAsia" w:ascii="宋体" w:hAnsi="宋体" w:eastAsia="宋体" w:cs="宋体"/>
          <w:b/>
          <w:color w:val="000000"/>
          <w:spacing w:val="160"/>
          <w:sz w:val="28"/>
          <w:szCs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"_Toc511633585"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第一章招标公告</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3</w:t>
      </w:r>
      <w:r>
        <w:rPr>
          <w:rStyle w:val="19"/>
          <w:rFonts w:hint="eastAsia" w:ascii="宋体" w:hAnsi="宋体" w:eastAsia="宋体" w:cs="宋体"/>
          <w:color w:val="000000"/>
          <w:sz w:val="28"/>
          <w:szCs w:val="28"/>
        </w:rPr>
        <w:fldChar w:fldCharType="end"/>
      </w:r>
    </w:p>
    <w:p>
      <w:pPr>
        <w:pStyle w:val="11"/>
        <w:tabs>
          <w:tab w:val="right" w:leader="dot" w:pos="8834"/>
        </w:tabs>
        <w:rPr>
          <w:rFonts w:hint="eastAsia" w:ascii="宋体" w:hAnsi="宋体" w:eastAsia="宋体" w:cs="宋体"/>
          <w:color w:val="000000"/>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"_Toc511633586"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第二章投标人须知</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6</w:t>
      </w:r>
      <w:r>
        <w:rPr>
          <w:rStyle w:val="19"/>
          <w:rFonts w:hint="eastAsia" w:ascii="宋体" w:hAnsi="宋体" w:eastAsia="宋体" w:cs="宋体"/>
          <w:color w:val="000000"/>
          <w:sz w:val="28"/>
          <w:szCs w:val="28"/>
        </w:rPr>
        <w:fldChar w:fldCharType="end"/>
      </w:r>
    </w:p>
    <w:p>
      <w:pPr>
        <w:pStyle w:val="11"/>
        <w:tabs>
          <w:tab w:val="right" w:leader="dot" w:pos="8834"/>
        </w:tabs>
        <w:rPr>
          <w:rFonts w:hint="eastAsia"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"_Toc511633587"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第三章技术规范及相关要求</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1</w:t>
      </w:r>
      <w:r>
        <w:rPr>
          <w:rStyle w:val="19"/>
          <w:rFonts w:hint="eastAsia" w:ascii="宋体" w:hAnsi="宋体" w:eastAsia="宋体" w:cs="宋体"/>
          <w:color w:val="000000"/>
          <w:sz w:val="28"/>
          <w:szCs w:val="28"/>
        </w:rPr>
        <w:fldChar w:fldCharType="end"/>
      </w:r>
      <w:r>
        <w:rPr>
          <w:rStyle w:val="19"/>
          <w:rFonts w:hint="eastAsia" w:ascii="宋体" w:hAnsi="宋体" w:eastAsia="宋体" w:cs="宋体"/>
          <w:color w:val="000000"/>
          <w:sz w:val="28"/>
          <w:szCs w:val="28"/>
          <w:lang w:val="en-US" w:eastAsia="zh-CN"/>
        </w:rPr>
        <w:t>9</w:t>
      </w:r>
    </w:p>
    <w:p>
      <w:pPr>
        <w:pStyle w:val="11"/>
        <w:tabs>
          <w:tab w:val="right" w:leader="dot" w:pos="8834"/>
        </w:tabs>
        <w:rPr>
          <w:rFonts w:hint="eastAsia"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"_Toc511633588"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第四章合同格式</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lang w:val="en-US" w:eastAsia="zh-CN"/>
        </w:rPr>
        <w:t>2</w:t>
      </w:r>
      <w:r>
        <w:rPr>
          <w:rStyle w:val="19"/>
          <w:rFonts w:hint="eastAsia" w:ascii="宋体" w:hAnsi="宋体" w:eastAsia="宋体" w:cs="宋体"/>
          <w:color w:val="000000"/>
          <w:sz w:val="28"/>
          <w:szCs w:val="28"/>
        </w:rPr>
        <w:fldChar w:fldCharType="end"/>
      </w:r>
      <w:r>
        <w:rPr>
          <w:rStyle w:val="19"/>
          <w:rFonts w:hint="eastAsia" w:ascii="宋体" w:hAnsi="宋体" w:eastAsia="宋体" w:cs="宋体"/>
          <w:color w:val="000000"/>
          <w:sz w:val="28"/>
          <w:szCs w:val="28"/>
          <w:lang w:val="en-US" w:eastAsia="zh-CN"/>
        </w:rPr>
        <w:t>0</w:t>
      </w:r>
    </w:p>
    <w:p>
      <w:pPr>
        <w:pStyle w:val="11"/>
        <w:tabs>
          <w:tab w:val="right" w:leader="dot" w:pos="8834"/>
        </w:tabs>
        <w:rPr>
          <w:rFonts w:hint="default"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"_Toc511633589"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第五章投标文件部分格式</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rPr>
        <w:fldChar w:fldCharType="end"/>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5</w:t>
      </w:r>
    </w:p>
    <w:p>
      <w:pPr>
        <w:pStyle w:val="11"/>
        <w:tabs>
          <w:tab w:val="right" w:leader="dot" w:pos="8834"/>
        </w:tabs>
        <w:rPr>
          <w:rFonts w:hint="default" w:ascii="宋体" w:hAnsi="宋体" w:eastAsia="宋体" w:cs="宋体"/>
          <w:color w:val="000000"/>
          <w:sz w:val="28"/>
          <w:szCs w:val="28"/>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"_Toc511633590" </w:instrText>
      </w:r>
      <w:r>
        <w:rPr>
          <w:rFonts w:hint="eastAsia" w:ascii="宋体" w:hAnsi="宋体" w:eastAsia="宋体" w:cs="宋体"/>
        </w:rPr>
        <w:fldChar w:fldCharType="separate"/>
      </w:r>
      <w:r>
        <w:rPr>
          <w:rStyle w:val="19"/>
          <w:rFonts w:hint="eastAsia" w:ascii="宋体" w:hAnsi="宋体" w:eastAsia="宋体" w:cs="宋体"/>
          <w:color w:val="000000"/>
          <w:sz w:val="28"/>
          <w:szCs w:val="28"/>
        </w:rPr>
        <w:t>第六章评审细则</w:t>
      </w:r>
      <w:r>
        <w:rPr>
          <w:rStyle w:val="19"/>
          <w:rFonts w:hint="eastAsia" w:ascii="宋体" w:hAnsi="宋体" w:eastAsia="宋体" w:cs="宋体"/>
          <w:color w:val="000000"/>
          <w:sz w:val="28"/>
          <w:szCs w:val="28"/>
        </w:rPr>
        <w:tab/>
      </w:r>
      <w:r>
        <w:rPr>
          <w:rStyle w:val="19"/>
          <w:rFonts w:hint="eastAsia" w:ascii="宋体" w:hAnsi="宋体" w:eastAsia="宋体" w:cs="宋体"/>
          <w:color w:val="000000"/>
          <w:sz w:val="28"/>
          <w:szCs w:val="28"/>
        </w:rPr>
        <w:fldChar w:fldCharType="end"/>
      </w:r>
      <w:r>
        <w:rPr>
          <w:rStyle w:val="19"/>
          <w:rFonts w:hint="eastAsia" w:ascii="宋体" w:hAnsi="宋体" w:cs="宋体"/>
          <w:color w:val="000000"/>
          <w:sz w:val="28"/>
          <w:szCs w:val="28"/>
          <w:lang w:val="en-US" w:eastAsia="zh-CN"/>
        </w:rPr>
        <w:t>40</w:t>
      </w:r>
    </w:p>
    <w:p>
      <w:pPr>
        <w:pStyle w:val="7"/>
        <w:adjustRightInd w:val="0"/>
        <w:snapToGrid w:val="0"/>
        <w:spacing w:line="360" w:lineRule="auto"/>
        <w:jc w:val="center"/>
        <w:rPr>
          <w:rFonts w:hint="eastAsia" w:ascii="宋体" w:hAnsi="宋体" w:eastAsia="宋体" w:cs="宋体"/>
          <w:b/>
          <w:color w:val="000000"/>
          <w:spacing w:val="160"/>
          <w:sz w:val="36"/>
          <w:szCs w:val="36"/>
        </w:rPr>
      </w:pPr>
      <w:r>
        <w:rPr>
          <w:rFonts w:hint="eastAsia" w:ascii="宋体" w:hAnsi="宋体" w:eastAsia="宋体" w:cs="宋体"/>
          <w:b/>
          <w:color w:val="000000"/>
          <w:spacing w:val="160"/>
          <w:sz w:val="28"/>
          <w:szCs w:val="28"/>
        </w:rPr>
        <w:fldChar w:fldCharType="end"/>
      </w:r>
    </w:p>
    <w:p>
      <w:pPr>
        <w:widowControl/>
        <w:jc w:val="left"/>
        <w:rPr>
          <w:rFonts w:hint="eastAsia" w:ascii="宋体" w:hAnsi="宋体" w:eastAsia="宋体" w:cs="宋体"/>
          <w:b/>
          <w:color w:val="000000"/>
          <w:sz w:val="24"/>
        </w:rPr>
        <w:sectPr>
          <w:footerReference r:id="rId3" w:type="default"/>
          <w:pgSz w:w="11906" w:h="16838"/>
          <w:pgMar w:top="1474" w:right="1531" w:bottom="147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numPr>
          <w:ilvl w:val="0"/>
          <w:numId w:val="1"/>
        </w:numPr>
        <w:rPr>
          <w:rFonts w:hint="eastAsia" w:ascii="宋体" w:hAnsi="宋体" w:eastAsia="宋体" w:cs="宋体"/>
          <w:color w:val="000000"/>
          <w:sz w:val="32"/>
          <w:szCs w:val="32"/>
        </w:rPr>
      </w:pPr>
      <w:bookmarkStart w:id="0" w:name="_Toc511633585"/>
      <w:r>
        <w:rPr>
          <w:rFonts w:hint="eastAsia" w:ascii="宋体" w:hAnsi="宋体" w:eastAsia="宋体" w:cs="宋体"/>
          <w:color w:val="000000"/>
          <w:sz w:val="32"/>
          <w:szCs w:val="32"/>
        </w:rPr>
        <w:t xml:space="preserve"> 招标公告</w:t>
      </w:r>
      <w:bookmarkEnd w:id="0"/>
    </w:p>
    <w:p>
      <w:pPr>
        <w:numPr>
          <w:ilvl w:val="0"/>
          <w:numId w:val="0"/>
        </w:numPr>
        <w:rPr>
          <w:rFonts w:hint="eastAsia"/>
        </w:rPr>
      </w:pPr>
    </w:p>
    <w:p>
      <w:pPr>
        <w:widowControl/>
        <w:spacing w:line="360" w:lineRule="auto"/>
        <w:ind w:firstLine="480"/>
        <w:rPr>
          <w:rFonts w:hint="eastAsia" w:ascii="宋体" w:hAnsi="宋体" w:eastAsia="宋体" w:cs="宋体"/>
          <w:color w:val="000000"/>
          <w:kern w:val="0"/>
          <w:szCs w:val="21"/>
        </w:rPr>
      </w:pPr>
      <w:bookmarkStart w:id="1" w:name="OLE_LINK1"/>
      <w:r>
        <w:rPr>
          <w:rFonts w:hint="eastAsia" w:ascii="宋体" w:hAnsi="宋体" w:eastAsia="宋体" w:cs="宋体"/>
          <w:color w:val="000000"/>
          <w:kern w:val="0"/>
          <w:szCs w:val="21"/>
        </w:rPr>
        <w:t>湖南东君项目管理有限公司受湖南中昌新能源有限公司的委托，现对长沙汇富中心充电站项目采用公开招标方式采购，欢迎符合资格条件并对此有兴趣的投标人前来购买招标文件并参加投标。</w:t>
      </w:r>
    </w:p>
    <w:p>
      <w:pPr>
        <w:autoSpaceDN w:val="0"/>
        <w:spacing w:line="360" w:lineRule="auto"/>
        <w:rPr>
          <w:rFonts w:hint="eastAsia" w:ascii="宋体" w:hAnsi="宋体" w:eastAsia="宋体" w:cs="宋体"/>
          <w:color w:val="000000"/>
          <w:szCs w:val="21"/>
        </w:rPr>
      </w:pPr>
      <w:r>
        <w:rPr>
          <w:rFonts w:hint="eastAsia" w:ascii="宋体" w:hAnsi="宋体" w:eastAsia="宋体" w:cs="宋体"/>
          <w:b/>
          <w:color w:val="000000"/>
          <w:szCs w:val="21"/>
        </w:rPr>
        <w:t>一、 采购项目的名称、用途、数量、内容、要求：</w:t>
      </w:r>
    </w:p>
    <w:p>
      <w:pPr>
        <w:widowControl/>
        <w:spacing w:line="360" w:lineRule="auto"/>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1、项目名称：长沙汇富中心充电站项目</w:t>
      </w:r>
    </w:p>
    <w:p>
      <w:pPr>
        <w:widowControl/>
        <w:spacing w:line="360" w:lineRule="auto"/>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2、建设地点：长沙汇富中心</w:t>
      </w:r>
    </w:p>
    <w:p>
      <w:pPr>
        <w:widowControl/>
        <w:spacing w:line="360" w:lineRule="auto"/>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3、规模：1692094.15</w:t>
      </w:r>
      <w:bookmarkStart w:id="341" w:name="_GoBack"/>
      <w:r>
        <w:rPr>
          <w:rFonts w:hint="eastAsia" w:ascii="宋体" w:hAnsi="宋体" w:eastAsia="宋体" w:cs="宋体"/>
          <w:color w:val="000000"/>
          <w:kern w:val="0"/>
          <w:szCs w:val="21"/>
        </w:rPr>
        <w:t>元</w:t>
      </w:r>
      <w:bookmarkEnd w:id="341"/>
    </w:p>
    <w:p>
      <w:pPr>
        <w:widowControl/>
        <w:spacing w:line="360" w:lineRule="auto"/>
        <w:ind w:firstLine="48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4、工期：</w:t>
      </w:r>
      <w:r>
        <w:rPr>
          <w:rFonts w:hint="eastAsia" w:ascii="宋体" w:hAnsi="宋体" w:eastAsia="宋体" w:cs="宋体"/>
          <w:color w:val="000000"/>
          <w:kern w:val="0"/>
          <w:szCs w:val="21"/>
          <w:lang w:eastAsia="zh-CN"/>
        </w:rPr>
        <w:t>45个日历日</w:t>
      </w:r>
    </w:p>
    <w:p>
      <w:pPr>
        <w:widowControl/>
        <w:spacing w:line="360" w:lineRule="auto"/>
        <w:ind w:firstLine="48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5、招标内容：</w:t>
      </w:r>
      <w:r>
        <w:rPr>
          <w:rFonts w:hint="eastAsia" w:ascii="宋体" w:hAnsi="宋体" w:eastAsia="宋体" w:cs="宋体"/>
          <w:color w:val="000000"/>
          <w:kern w:val="0"/>
          <w:szCs w:val="21"/>
          <w:lang w:val="en-US" w:eastAsia="zh-CN"/>
        </w:rPr>
        <w:t>本项目规划长沙汇富中心权属的停车场安装充电桩，安装120kW直流充电桩（双枪快充）9台，配套建设低压设备、沥青路面翻新、监控系统、消防器具、照明系统、网络系统及安全预警系统等站场配套设施等。</w:t>
      </w:r>
    </w:p>
    <w:p>
      <w:pPr>
        <w:autoSpaceDN w:val="0"/>
        <w:spacing w:line="360" w:lineRule="auto"/>
        <w:rPr>
          <w:rFonts w:hint="eastAsia" w:ascii="宋体" w:hAnsi="宋体" w:eastAsia="宋体" w:cs="宋体"/>
          <w:color w:val="000000"/>
          <w:szCs w:val="21"/>
        </w:rPr>
      </w:pPr>
      <w:r>
        <w:rPr>
          <w:rFonts w:hint="eastAsia" w:ascii="宋体" w:hAnsi="宋体" w:eastAsia="宋体" w:cs="宋体"/>
          <w:b/>
          <w:color w:val="000000"/>
          <w:szCs w:val="21"/>
        </w:rPr>
        <w:t>二、对投标人资格要求：</w:t>
      </w:r>
      <w:bookmarkEnd w:id="1"/>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1、投标人基本资格条件：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1.1、投标人的基本资格条件：投标人必须是在中华人民共和国境内注册登记的法人，且应当符合有关的规定，即： </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1.1.1</w:t>
      </w:r>
      <w:r>
        <w:rPr>
          <w:rFonts w:hint="eastAsia" w:ascii="宋体" w:hAnsi="宋体" w:eastAsia="宋体" w:cs="宋体"/>
          <w:color w:val="000000"/>
          <w:kern w:val="0"/>
          <w:szCs w:val="21"/>
        </w:rPr>
        <w:t>具有独立承担民事责任的能力；（提交有效期内的企业法人营业执照副本(或者法人登记证书)以及组织机构代码证副本复印件，供应商具有实行了“三证合一”登记制度改革的新证，视同为持有工商营业执照、组织机构代码证和税务登记证，符合基本资格条件的相关条款）</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1.1.2</w:t>
      </w:r>
      <w:r>
        <w:rPr>
          <w:rFonts w:hint="eastAsia" w:ascii="宋体" w:hAnsi="宋体" w:eastAsia="宋体" w:cs="宋体"/>
          <w:color w:val="000000"/>
          <w:kern w:val="0"/>
          <w:szCs w:val="21"/>
        </w:rPr>
        <w:t>具有履行合同所必需的设备和专业技术能力；</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w:t>
      </w:r>
      <w:r>
        <w:rPr>
          <w:rFonts w:hint="eastAsia" w:ascii="宋体" w:hAnsi="宋体" w:eastAsia="宋体" w:cs="宋体"/>
          <w:color w:val="000000"/>
          <w:kern w:val="0"/>
          <w:szCs w:val="21"/>
        </w:rPr>
        <w:t>有依法缴纳税收和社会保障资金的良好记录：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1.1.3.1</w:t>
      </w:r>
      <w:r>
        <w:rPr>
          <w:rFonts w:hint="eastAsia" w:ascii="宋体" w:hAnsi="宋体" w:eastAsia="宋体" w:cs="宋体"/>
          <w:color w:val="000000"/>
          <w:kern w:val="0"/>
          <w:szCs w:val="21"/>
        </w:rPr>
        <w:t>缴纳税收证明资料:《税务登记证》复印件，近三个月中任意一月依法缴纳税收的证明（纳税凭证复印件），或者委托他人缴纳的委托代办协议和近三个月中任意一月的缴纳证明（收据复印件），或者法定征收机关出具的依法免缴税收的证明原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1.1.3.2</w:t>
      </w:r>
      <w:r>
        <w:rPr>
          <w:rFonts w:hint="eastAsia" w:ascii="宋体" w:hAnsi="宋体" w:eastAsia="宋体" w:cs="宋体"/>
          <w:color w:val="000000"/>
          <w:kern w:val="0"/>
          <w:szCs w:val="21"/>
        </w:rPr>
        <w:t>缴纳社会保险证明资料：近三个月中任意一月依法缴纳社会保险的证明（缴费凭证复印件），或者委托他人缴纳的委托代办协议和近三个月中任意一月的缴纳证明（收据复印件），如授权委托人参加投标的提供授权委托人在本单位近三个月中任意一月的缴纳证明,或者法定征收机关出具的依法免缴保险费的证明复印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1.1.4</w:t>
      </w:r>
      <w:r>
        <w:rPr>
          <w:rFonts w:hint="eastAsia" w:ascii="宋体" w:hAnsi="宋体" w:eastAsia="宋体" w:cs="宋体"/>
          <w:color w:val="000000"/>
          <w:kern w:val="0"/>
          <w:szCs w:val="21"/>
        </w:rPr>
        <w:t>参加投标活动前三年内，在经营活动中没有重大违法记录；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1.1.5</w:t>
      </w:r>
      <w:r>
        <w:rPr>
          <w:rFonts w:hint="eastAsia" w:ascii="宋体" w:hAnsi="宋体" w:eastAsia="宋体" w:cs="宋体"/>
          <w:color w:val="000000"/>
          <w:kern w:val="0"/>
          <w:szCs w:val="21"/>
        </w:rPr>
        <w:t>参加投标活动前三年内，在经营活动中无不良行为记录；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1.1.6</w:t>
      </w:r>
      <w:r>
        <w:rPr>
          <w:rFonts w:hint="eastAsia" w:ascii="宋体" w:hAnsi="宋体" w:eastAsia="宋体" w:cs="宋体"/>
          <w:color w:val="000000"/>
          <w:kern w:val="0"/>
          <w:szCs w:val="21"/>
        </w:rPr>
        <w:t>法律、行政法规规定的其他条件。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2、投标人特定资格条件</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2.1、具备建设行政主管部门颁发的</w:t>
      </w:r>
      <w:r>
        <w:rPr>
          <w:rFonts w:hint="eastAsia" w:ascii="宋体" w:hAnsi="宋体" w:eastAsia="宋体" w:cs="宋体"/>
          <w:color w:val="000000"/>
          <w:kern w:val="0"/>
          <w:szCs w:val="21"/>
        </w:rPr>
        <w:t>电力工程施工总承包叁级及以上</w:t>
      </w:r>
      <w:r>
        <w:rPr>
          <w:rFonts w:hint="eastAsia" w:ascii="宋体" w:hAnsi="宋体" w:eastAsia="宋体" w:cs="宋体"/>
          <w:color w:val="000000"/>
          <w:kern w:val="0"/>
          <w:szCs w:val="21"/>
          <w:lang w:val="en-US" w:eastAsia="zh-CN"/>
        </w:rPr>
        <w:t>或市政公用工程施工总承包叁级及以上</w:t>
      </w:r>
      <w:r>
        <w:rPr>
          <w:rFonts w:hint="eastAsia" w:ascii="宋体" w:hAnsi="宋体" w:eastAsia="宋体" w:cs="宋体"/>
          <w:color w:val="000000"/>
          <w:kern w:val="0"/>
          <w:szCs w:val="21"/>
        </w:rPr>
        <w:t>资质，安全生产许可证处于有效</w:t>
      </w:r>
      <w:r>
        <w:rPr>
          <w:rFonts w:hint="eastAsia" w:ascii="宋体" w:hAnsi="宋体" w:eastAsia="宋体" w:cs="宋体"/>
          <w:sz w:val="21"/>
          <w:szCs w:val="21"/>
        </w:rPr>
        <w:t>期；</w:t>
      </w:r>
    </w:p>
    <w:p>
      <w:pPr>
        <w:widowControl/>
        <w:spacing w:line="360" w:lineRule="auto"/>
        <w:ind w:firstLine="480"/>
        <w:jc w:val="left"/>
        <w:rPr>
          <w:rFonts w:hint="eastAsia" w:ascii="宋体" w:hAnsi="宋体" w:eastAsia="宋体" w:cs="宋体"/>
          <w:lang w:val="en-US"/>
        </w:rPr>
      </w:pPr>
      <w:r>
        <w:rPr>
          <w:rFonts w:hint="eastAsia" w:ascii="宋体" w:hAnsi="宋体" w:eastAsia="宋体" w:cs="宋体"/>
          <w:kern w:val="0"/>
          <w:sz w:val="21"/>
          <w:szCs w:val="21"/>
          <w:highlight w:val="none"/>
          <w:lang w:val="en-US" w:eastAsia="zh-CN" w:bidi="ar-SA"/>
        </w:rPr>
        <w:t>2.2、拟任项目经理具备市政公用工程专业贰级及以上或机电工程专业贰级及以上注册建造师证书，具备有效的安全生产考核合格证书，且未在其他建设工程项目中担任同类职务</w:t>
      </w:r>
      <w:r>
        <w:rPr>
          <w:rFonts w:hint="eastAsia" w:ascii="宋体" w:hAnsi="宋体" w:eastAsia="宋体" w:cs="宋体"/>
          <w:sz w:val="21"/>
          <w:szCs w:val="21"/>
        </w:rPr>
        <w:t>；</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被“信用中国”网站列入失信被执行人和重大税收违法案件当事人名单的、被“中国政府采购网”网站列入政府采购严重违法失信行为记录名单（处罚期限尚未届满的），不得参与本项目的采购活动。（投标人最近一个月内在“信用中国（www.creditchina.gov.cn）”、中国政府采购网（www.ccgp.gov.cn)”的查询中无重大失信等被禁止投标记录，提供查询结果截图打印件加盖公章）</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、单位负责人为同一人或者存在控股、管理关系的不同单位，不得参加同一标段投标或者未划分标段的同一招标项目投标（提供天眼查或企查查、企信宝等查询截图）；</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本项目不接受联合体投标</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三、获取招标文件的时间、地点、方式及招标文件售价：</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rPr>
        <w:t>1、</w:t>
      </w:r>
      <w:r>
        <w:rPr>
          <w:rFonts w:hint="eastAsia" w:ascii="宋体" w:hAnsi="宋体" w:eastAsia="宋体" w:cs="宋体"/>
          <w:szCs w:val="21"/>
        </w:rPr>
        <w:t>本次招标现场购买招标文件（购买地点：湖南东君项目管理有限公司；地址：岳阳市岳阳楼区洞庭大道黄金街桃源新村北栋二楼201号）。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2、有意向的投标人须执公司营业执照复印件，法人前来的执本人身份证原件 ，授权委托人前来的执法定代表人签发的授权委托书原件及代理人身份证原件前来购买标书。报名资料包含以下内容:(1)企业营业执照副本(加盖公章的彩色扫描件);(2)法定代表人身份证明(或者投标报名授权委托书并附法定代表人身份证明)(加盖公章的彩色扫描件)(3)法定代表人和授权委托人的个人身份证(加盖公章的彩色扫描件)</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3、招标文件售价：人民币</w:t>
      </w:r>
      <w:r>
        <w:rPr>
          <w:rFonts w:hint="eastAsia" w:ascii="宋体" w:hAnsi="宋体" w:eastAsia="宋体" w:cs="宋体"/>
          <w:color w:val="000000"/>
          <w:szCs w:val="21"/>
          <w:lang w:val="en-US" w:eastAsia="zh-CN"/>
        </w:rPr>
        <w:t>400</w:t>
      </w:r>
      <w:r>
        <w:rPr>
          <w:rFonts w:hint="eastAsia" w:ascii="宋体" w:hAnsi="宋体" w:eastAsia="宋体" w:cs="宋体"/>
          <w:color w:val="000000"/>
          <w:szCs w:val="21"/>
        </w:rPr>
        <w:t>元/本。</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4、报名及招标文件提供期限：</w:t>
      </w:r>
      <w:r>
        <w:rPr>
          <w:rFonts w:hint="eastAsia" w:ascii="宋体" w:hAnsi="宋体" w:eastAsia="宋体" w:cs="宋体"/>
          <w:color w:val="000000"/>
          <w:szCs w:val="21"/>
          <w:lang w:eastAsia="zh-CN"/>
        </w:rPr>
        <w:t>2024年2月29日</w:t>
      </w:r>
      <w:r>
        <w:rPr>
          <w:rFonts w:hint="eastAsia" w:ascii="宋体" w:hAnsi="宋体" w:eastAsia="宋体" w:cs="宋体"/>
          <w:color w:val="000000"/>
          <w:szCs w:val="21"/>
        </w:rPr>
        <w:t>至</w:t>
      </w:r>
      <w:r>
        <w:rPr>
          <w:rFonts w:hint="eastAsia" w:ascii="宋体" w:hAnsi="宋体" w:eastAsia="宋体" w:cs="宋体"/>
          <w:color w:val="000000"/>
          <w:szCs w:val="21"/>
          <w:lang w:eastAsia="zh-CN"/>
        </w:rPr>
        <w:t>2024年3月7日，</w:t>
      </w:r>
      <w:r>
        <w:rPr>
          <w:rFonts w:hint="eastAsia" w:ascii="宋体" w:hAnsi="宋体" w:eastAsia="宋体" w:cs="宋体"/>
          <w:szCs w:val="21"/>
          <w:highlight w:val="none"/>
          <w:lang w:val="en-US" w:eastAsia="zh-CN"/>
        </w:rPr>
        <w:t>每日上午9:00至12:00，下午14:30至17:00(北京时间)</w:t>
      </w:r>
      <w:r>
        <w:rPr>
          <w:rFonts w:hint="eastAsia" w:ascii="宋体" w:hAnsi="宋体" w:eastAsia="宋体" w:cs="宋体"/>
          <w:color w:val="000000"/>
          <w:szCs w:val="21"/>
        </w:rPr>
        <w:t>。</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四、投标文件递交截止时间</w:t>
      </w:r>
    </w:p>
    <w:p>
      <w:pPr>
        <w:spacing w:line="360" w:lineRule="auto"/>
        <w:ind w:left="239" w:leftChars="114" w:firstLine="210" w:firstLineChars="100"/>
        <w:rPr>
          <w:rFonts w:hint="eastAsia" w:ascii="宋体" w:hAnsi="宋体" w:eastAsia="宋体" w:cs="宋体"/>
          <w:color w:val="000000"/>
          <w:szCs w:val="21"/>
        </w:rPr>
      </w:pPr>
      <w:r>
        <w:rPr>
          <w:rFonts w:hint="eastAsia" w:ascii="宋体" w:hAnsi="宋体" w:eastAsia="宋体" w:cs="宋体"/>
          <w:color w:val="000000"/>
          <w:szCs w:val="21"/>
        </w:rPr>
        <w:t>1、投标文件递交截止时间（开标时间，投标截止时间，下同）</w:t>
      </w: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9时30分（北京时间）。</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2、投标地点</w:t>
      </w:r>
      <w:r>
        <w:rPr>
          <w:rFonts w:hint="eastAsia" w:ascii="宋体" w:hAnsi="宋体" w:eastAsia="宋体" w:cs="宋体"/>
          <w:szCs w:val="21"/>
        </w:rPr>
        <w:t>湖南东君项目管理有限公司开标室；地址：岳阳市岳阳楼区洞庭大道黄金街桃源新村北栋二楼201号）</w:t>
      </w:r>
      <w:r>
        <w:rPr>
          <w:rFonts w:hint="eastAsia" w:ascii="宋体" w:hAnsi="宋体" w:eastAsia="宋体" w:cs="宋体"/>
          <w:color w:val="000000"/>
          <w:szCs w:val="21"/>
        </w:rPr>
        <w:t>。</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3、投标人递交的纸质投标文件应严格按照招标文件要求制作、盖章并密封。</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4、投标人在投标截止时间前未按要求提供纸质投标文件的，视为自动放弃本项目的投标。</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五、公告媒体：</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本公告在</w:t>
      </w:r>
      <w:r>
        <w:rPr>
          <w:rFonts w:hint="eastAsia" w:ascii="宋体" w:hAnsi="宋体" w:eastAsia="宋体" w:cs="宋体"/>
          <w:color w:val="000000"/>
          <w:szCs w:val="21"/>
          <w:lang w:val="en-US" w:eastAsia="zh-CN"/>
        </w:rPr>
        <w:t>湖南临港开发投资集团有限公司官网（http://www.hngtjt.cn/）</w:t>
      </w:r>
      <w:r>
        <w:rPr>
          <w:rFonts w:hint="eastAsia" w:ascii="宋体" w:hAnsi="宋体" w:eastAsia="宋体" w:cs="宋体"/>
          <w:color w:val="000000"/>
          <w:szCs w:val="21"/>
        </w:rPr>
        <w:t>发布。</w:t>
      </w:r>
    </w:p>
    <w:p>
      <w:pPr>
        <w:spacing w:line="360" w:lineRule="auto"/>
        <w:rPr>
          <w:rFonts w:hint="eastAsia" w:ascii="宋体" w:hAnsi="宋体" w:eastAsia="宋体" w:cs="宋体"/>
          <w:b/>
          <w:bCs/>
          <w:color w:val="000000"/>
          <w:szCs w:val="21"/>
        </w:rPr>
      </w:pPr>
      <w:r>
        <w:rPr>
          <w:rFonts w:hint="eastAsia" w:ascii="宋体" w:hAnsi="宋体" w:eastAsia="宋体" w:cs="宋体"/>
          <w:b/>
          <w:bCs/>
          <w:color w:val="000000"/>
          <w:szCs w:val="21"/>
        </w:rPr>
        <w:t>六、招标人及招标代理公司名称：</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招标人名称：湖南中昌新能源有限公司</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招标人地址：中国（湖南）自由贸易试验区岳阳片区永济大道临港高新产业园5栋二层</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招标人代表：黄先生    </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联系方式：18073055075</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采购代理机构名称：湖南东君项目管理有限公司</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地址：岳阳市岳阳楼区洞庭大道黄金街桃源新村北栋二楼201号</w:t>
      </w:r>
    </w:p>
    <w:p>
      <w:pPr>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 xml:space="preserve">联系人：李先生  </w:t>
      </w:r>
    </w:p>
    <w:p>
      <w:pPr>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联系电话：</w:t>
      </w:r>
      <w:bookmarkStart w:id="2" w:name="_Toc511633586"/>
      <w:r>
        <w:rPr>
          <w:rFonts w:hint="eastAsia" w:ascii="宋体" w:hAnsi="宋体" w:eastAsia="宋体" w:cs="宋体"/>
          <w:color w:val="000000"/>
          <w:szCs w:val="21"/>
        </w:rPr>
        <w:t>13337208715</w:t>
      </w:r>
    </w:p>
    <w:p>
      <w:pPr>
        <w:spacing w:line="460" w:lineRule="exact"/>
        <w:ind w:firstLine="420" w:firstLineChars="200"/>
        <w:jc w:val="left"/>
        <w:rPr>
          <w:rFonts w:hint="eastAsia" w:ascii="宋体" w:hAnsi="宋体" w:eastAsia="宋体" w:cs="宋体"/>
          <w:color w:val="000000"/>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pStyle w:val="32"/>
        <w:rPr>
          <w:rFonts w:hint="eastAsia" w:ascii="宋体" w:hAnsi="宋体" w:eastAsia="宋体" w:cs="宋体"/>
          <w:szCs w:val="21"/>
        </w:rPr>
      </w:pPr>
    </w:p>
    <w:p>
      <w:pPr>
        <w:spacing w:line="460" w:lineRule="exact"/>
        <w:ind w:firstLine="2891" w:firstLineChars="900"/>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第二章  投标人须知</w:t>
      </w:r>
      <w:bookmarkEnd w:id="2"/>
    </w:p>
    <w:p>
      <w:pPr>
        <w:ind w:firstLine="3080" w:firstLineChars="1100"/>
        <w:rPr>
          <w:rFonts w:hint="eastAsia" w:ascii="宋体" w:hAnsi="宋体" w:eastAsia="宋体" w:cs="宋体"/>
          <w:color w:val="000000"/>
          <w:sz w:val="28"/>
          <w:szCs w:val="28"/>
        </w:rPr>
      </w:pPr>
      <w:r>
        <w:rPr>
          <w:rFonts w:hint="eastAsia" w:ascii="宋体" w:hAnsi="宋体" w:eastAsia="宋体" w:cs="宋体"/>
          <w:color w:val="000000"/>
          <w:sz w:val="28"/>
          <w:szCs w:val="28"/>
        </w:rPr>
        <w:t>一、投标人须知前附表</w:t>
      </w:r>
    </w:p>
    <w:tbl>
      <w:tblPr>
        <w:tblStyle w:val="15"/>
        <w:tblW w:w="97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984"/>
        <w:gridCol w:w="70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jc w:val="center"/>
        </w:trPr>
        <w:tc>
          <w:tcPr>
            <w:tcW w:w="710" w:type="dxa"/>
            <w:tcBorders>
              <w:top w:val="double" w:color="auto" w:sz="4"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序号</w:t>
            </w:r>
          </w:p>
        </w:tc>
        <w:tc>
          <w:tcPr>
            <w:tcW w:w="1984" w:type="dxa"/>
            <w:tcBorders>
              <w:top w:val="doub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条款名称</w:t>
            </w:r>
          </w:p>
        </w:tc>
        <w:tc>
          <w:tcPr>
            <w:tcW w:w="7088" w:type="dxa"/>
            <w:tcBorders>
              <w:top w:val="double" w:color="auto" w:sz="4" w:space="0"/>
              <w:left w:val="single" w:color="auto" w:sz="6" w:space="0"/>
              <w:bottom w:val="single" w:color="auto" w:sz="6" w:space="0"/>
              <w:right w:val="double" w:color="auto" w:sz="4" w:space="0"/>
            </w:tcBorders>
            <w:vAlign w:val="center"/>
          </w:tcPr>
          <w:p>
            <w:pPr>
              <w:adjustRightInd w:val="0"/>
              <w:snapToGrid w:val="0"/>
              <w:spacing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招标人</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招标人名称：湖南中昌新能源有限公司</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招标人地址：中国（湖南）自由贸易试验区岳阳片区永济大道临港高新产业园5栋二层</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招标人代表：黄先生</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联系方式：18073055075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采购代理机构</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szCs w:val="24"/>
              </w:rPr>
            </w:pPr>
            <w:r>
              <w:rPr>
                <w:rFonts w:hint="eastAsia" w:ascii="宋体" w:hAnsi="宋体" w:eastAsia="宋体" w:cs="宋体"/>
              </w:rPr>
              <w:t>名称：湖南东君项目管理有限公司</w:t>
            </w:r>
          </w:p>
          <w:p>
            <w:pPr>
              <w:adjustRightInd w:val="0"/>
              <w:snapToGrid w:val="0"/>
              <w:spacing w:line="360" w:lineRule="auto"/>
              <w:rPr>
                <w:rFonts w:hint="eastAsia" w:ascii="宋体" w:hAnsi="宋体" w:eastAsia="宋体" w:cs="宋体"/>
              </w:rPr>
            </w:pPr>
            <w:r>
              <w:rPr>
                <w:rFonts w:hint="eastAsia" w:ascii="宋体" w:hAnsi="宋体" w:eastAsia="宋体" w:cs="宋体"/>
              </w:rPr>
              <w:t>地址：岳阳市岳阳楼区洞庭大道黄金街桃源新村北栋二楼201号</w:t>
            </w:r>
          </w:p>
          <w:p>
            <w:pPr>
              <w:adjustRightInd w:val="0"/>
              <w:snapToGrid w:val="0"/>
              <w:spacing w:line="360" w:lineRule="auto"/>
              <w:rPr>
                <w:rFonts w:hint="eastAsia" w:ascii="宋体" w:hAnsi="宋体" w:eastAsia="宋体" w:cs="宋体"/>
              </w:rPr>
            </w:pPr>
            <w:r>
              <w:rPr>
                <w:rFonts w:hint="eastAsia" w:ascii="宋体" w:hAnsi="宋体" w:eastAsia="宋体" w:cs="宋体"/>
              </w:rPr>
              <w:t>联系人：李先生</w:t>
            </w:r>
          </w:p>
          <w:p>
            <w:pPr>
              <w:adjustRightInd w:val="0"/>
              <w:snapToGrid w:val="0"/>
              <w:spacing w:line="360" w:lineRule="auto"/>
              <w:rPr>
                <w:rFonts w:hint="eastAsia" w:ascii="宋体" w:hAnsi="宋体" w:eastAsia="宋体" w:cs="宋体"/>
                <w:szCs w:val="24"/>
              </w:rPr>
            </w:pPr>
            <w:r>
              <w:rPr>
                <w:rFonts w:hint="eastAsia" w:ascii="宋体" w:hAnsi="宋体" w:eastAsia="宋体" w:cs="宋体"/>
                <w:color w:val="000000"/>
                <w:szCs w:val="21"/>
              </w:rPr>
              <w:t>电话：</w:t>
            </w:r>
            <w:r>
              <w:rPr>
                <w:rFonts w:hint="eastAsia" w:ascii="宋体" w:hAnsi="宋体" w:eastAsia="宋体" w:cs="宋体"/>
                <w:color w:val="000000"/>
              </w:rPr>
              <w:t>13337208715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采购项目</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rPr>
              <w:t>长沙汇富中心充电站项目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项目预算</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b/>
                <w:color w:val="000000"/>
                <w:szCs w:val="21"/>
              </w:rPr>
            </w:pPr>
            <w:r>
              <w:rPr>
                <w:rFonts w:hint="eastAsia" w:ascii="宋体" w:hAnsi="宋体" w:eastAsia="宋体" w:cs="宋体"/>
              </w:rPr>
              <w:t>最高限价1692094.15元，报价都不得超出最高限价。否则报价无效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实施地点</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资金来源</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自筹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出资比例</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资金落实情况</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招标范围</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具体招标范围及详细招标清单详见第三章技术规范及相关要求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实施周期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符合招标文件第三章技术规范相关要求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质量要求</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符合招标文件第三章技术规范相关要求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12</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bCs/>
                <w:color w:val="000000"/>
                <w:szCs w:val="21"/>
              </w:rPr>
              <w:t>投标人</w:t>
            </w:r>
            <w:r>
              <w:rPr>
                <w:rFonts w:hint="eastAsia" w:ascii="宋体" w:hAnsi="宋体" w:eastAsia="宋体" w:cs="宋体"/>
                <w:color w:val="000000"/>
                <w:szCs w:val="21"/>
              </w:rPr>
              <w:t>资格条件</w:t>
            </w:r>
          </w:p>
        </w:tc>
        <w:tc>
          <w:tcPr>
            <w:tcW w:w="7088" w:type="dxa"/>
            <w:tcBorders>
              <w:top w:val="single" w:color="auto" w:sz="6" w:space="0"/>
              <w:left w:val="single" w:color="auto" w:sz="6" w:space="0"/>
              <w:bottom w:val="single" w:color="auto" w:sz="6" w:space="0"/>
              <w:right w:val="double" w:color="auto" w:sz="4" w:space="0"/>
            </w:tcBorders>
            <w:vAlign w:val="center"/>
          </w:tcPr>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1、投标人基本资格条件：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1.1、投标人的基本资格条件：投标人必须是在中华人民共和国境内注册登记的法人，且应当符合有关的规定，即： </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1.1.1</w:t>
            </w:r>
            <w:r>
              <w:rPr>
                <w:rFonts w:hint="eastAsia" w:ascii="宋体" w:hAnsi="宋体" w:eastAsia="宋体" w:cs="宋体"/>
                <w:color w:val="000000"/>
                <w:kern w:val="0"/>
                <w:szCs w:val="21"/>
              </w:rPr>
              <w:t>具有独立承担民事责任的能力；（提交有效期内的企业法人营业执照副本(或者法人登记证书)以及组织机构代码证副本复印件，供应商具有实行了“三证合一”登记制度改革的新证，视同为持有工商营业执照、组织机构代码证和税务登记证，符合基本资格条件的相关条款）</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1.1.2</w:t>
            </w:r>
            <w:r>
              <w:rPr>
                <w:rFonts w:hint="eastAsia" w:ascii="宋体" w:hAnsi="宋体" w:eastAsia="宋体" w:cs="宋体"/>
                <w:color w:val="000000"/>
                <w:kern w:val="0"/>
                <w:szCs w:val="21"/>
              </w:rPr>
              <w:t>具有履行合同所必需的设备和专业技术能力；</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w:t>
            </w:r>
            <w:r>
              <w:rPr>
                <w:rFonts w:hint="eastAsia" w:ascii="宋体" w:hAnsi="宋体" w:eastAsia="宋体" w:cs="宋体"/>
                <w:color w:val="000000"/>
                <w:kern w:val="0"/>
                <w:szCs w:val="21"/>
              </w:rPr>
              <w:t>有依法缴纳税收和社会保障资金的良好记录：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1.1.3.1</w:t>
            </w:r>
            <w:r>
              <w:rPr>
                <w:rFonts w:hint="eastAsia" w:ascii="宋体" w:hAnsi="宋体" w:eastAsia="宋体" w:cs="宋体"/>
                <w:color w:val="000000"/>
                <w:kern w:val="0"/>
                <w:szCs w:val="21"/>
              </w:rPr>
              <w:t>缴纳税收证明资料:《税务登记证》复印件，近三个月中任意一月依法缴纳税收的证明（纳税凭证复印件），或者委托他人缴纳的委托代办协议和近三个月中任意一月的缴纳证明（收据复印件），或者法定征收机关出具的依法免缴税收的证明原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1.1.3.2</w:t>
            </w:r>
            <w:r>
              <w:rPr>
                <w:rFonts w:hint="eastAsia" w:ascii="宋体" w:hAnsi="宋体" w:eastAsia="宋体" w:cs="宋体"/>
                <w:color w:val="000000"/>
                <w:kern w:val="0"/>
                <w:szCs w:val="21"/>
              </w:rPr>
              <w:t>缴纳社会保险证明资料：近三个月中任意一月依法缴纳社会保险的证明（缴费凭证复印件），或者委托他人缴纳的委托代办协议和近三个月中任意一月的缴纳证明（收据复印件），如授权委托人参加投标的提供授权委托人在本单位近三个月中任意一月的缴纳证明,或者法定征收机关出具的依法免缴保险费的证明复印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1.1.4</w:t>
            </w:r>
            <w:r>
              <w:rPr>
                <w:rFonts w:hint="eastAsia" w:ascii="宋体" w:hAnsi="宋体" w:eastAsia="宋体" w:cs="宋体"/>
                <w:color w:val="000000"/>
                <w:kern w:val="0"/>
                <w:szCs w:val="21"/>
              </w:rPr>
              <w:t>参加投标活动前三年内，在经营活动中没有重大违法记录；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1.1.5</w:t>
            </w:r>
            <w:r>
              <w:rPr>
                <w:rFonts w:hint="eastAsia" w:ascii="宋体" w:hAnsi="宋体" w:eastAsia="宋体" w:cs="宋体"/>
                <w:color w:val="000000"/>
                <w:kern w:val="0"/>
                <w:szCs w:val="21"/>
              </w:rPr>
              <w:t>参加投标活动前三年内，在经营活动中无不良行为记录；</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1.1.6</w:t>
            </w:r>
            <w:r>
              <w:rPr>
                <w:rFonts w:hint="eastAsia" w:ascii="宋体" w:hAnsi="宋体" w:eastAsia="宋体" w:cs="宋体"/>
                <w:color w:val="000000"/>
                <w:kern w:val="0"/>
                <w:szCs w:val="21"/>
              </w:rPr>
              <w:t>法律、行政法规规定的其他条件。</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2、投标人特定资格条件</w:t>
            </w:r>
          </w:p>
          <w:p>
            <w:pPr>
              <w:widowControl/>
              <w:spacing w:line="360" w:lineRule="auto"/>
              <w:ind w:firstLine="480"/>
              <w:jc w:val="left"/>
              <w:rPr>
                <w:rFonts w:hint="eastAsia" w:ascii="宋体" w:hAnsi="宋体" w:eastAsia="宋体" w:cs="宋体"/>
                <w:color w:val="000000"/>
                <w:kern w:val="0"/>
                <w:szCs w:val="21"/>
              </w:rPr>
            </w:pPr>
            <w:r>
              <w:rPr>
                <w:rFonts w:hint="eastAsia" w:ascii="宋体" w:hAnsi="宋体" w:eastAsia="宋体" w:cs="宋体"/>
                <w:sz w:val="21"/>
                <w:szCs w:val="21"/>
              </w:rPr>
              <w:t>2.1、具备建设行政主管部门颁</w:t>
            </w:r>
            <w:r>
              <w:rPr>
                <w:rFonts w:hint="eastAsia" w:ascii="宋体" w:hAnsi="宋体" w:eastAsia="宋体" w:cs="宋体"/>
                <w:color w:val="000000"/>
                <w:kern w:val="0"/>
                <w:szCs w:val="21"/>
              </w:rPr>
              <w:t>发的电力工程施工总承包叁级及以上</w:t>
            </w:r>
            <w:r>
              <w:rPr>
                <w:rFonts w:hint="eastAsia" w:ascii="宋体" w:hAnsi="宋体" w:eastAsia="宋体" w:cs="宋体"/>
                <w:color w:val="000000"/>
                <w:kern w:val="0"/>
                <w:szCs w:val="21"/>
                <w:lang w:val="en-US" w:eastAsia="zh-CN"/>
              </w:rPr>
              <w:t>或市政公用工程施工总承包叁级及以上</w:t>
            </w:r>
            <w:r>
              <w:rPr>
                <w:rFonts w:hint="eastAsia" w:ascii="宋体" w:hAnsi="宋体" w:eastAsia="宋体" w:cs="宋体"/>
                <w:color w:val="000000"/>
                <w:kern w:val="0"/>
                <w:szCs w:val="21"/>
              </w:rPr>
              <w:t>资质，安全生产许可证处于有效期；</w:t>
            </w:r>
          </w:p>
          <w:p>
            <w:pPr>
              <w:widowControl/>
              <w:spacing w:line="360" w:lineRule="auto"/>
              <w:ind w:firstLine="480"/>
              <w:jc w:val="left"/>
              <w:rPr>
                <w:rFonts w:hint="eastAsia" w:ascii="宋体" w:hAnsi="宋体" w:eastAsia="宋体" w:cs="宋体"/>
                <w:lang w:val="en-US"/>
              </w:rPr>
            </w:pPr>
            <w:r>
              <w:rPr>
                <w:rFonts w:hint="eastAsia" w:ascii="宋体" w:hAnsi="宋体" w:eastAsia="宋体" w:cs="宋体"/>
                <w:color w:val="000000"/>
                <w:kern w:val="0"/>
                <w:szCs w:val="21"/>
                <w:lang w:val="en-US" w:eastAsia="zh-CN"/>
              </w:rPr>
              <w:t>2.2、拟任项目经理具备市政公用工程专</w:t>
            </w:r>
            <w:r>
              <w:rPr>
                <w:rFonts w:hint="eastAsia" w:ascii="宋体" w:hAnsi="宋体" w:eastAsia="宋体" w:cs="宋体"/>
                <w:kern w:val="0"/>
                <w:sz w:val="21"/>
                <w:szCs w:val="21"/>
                <w:highlight w:val="none"/>
                <w:lang w:val="en-US" w:eastAsia="zh-CN" w:bidi="ar-SA"/>
              </w:rPr>
              <w:t>业贰级及以上或机电工程专业贰级及以上注册建造师证书，具备有效的安全生产考核合格证书，且未在其他建设工程项目中担任同类职务</w:t>
            </w:r>
            <w:r>
              <w:rPr>
                <w:rFonts w:hint="eastAsia" w:ascii="宋体" w:hAnsi="宋体" w:eastAsia="宋体" w:cs="宋体"/>
                <w:sz w:val="21"/>
                <w:szCs w:val="21"/>
              </w:rPr>
              <w:t>；</w:t>
            </w:r>
          </w:p>
          <w:p>
            <w:pPr>
              <w:widowControl/>
              <w:spacing w:line="360" w:lineRule="auto"/>
              <w:ind w:firstLine="48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被“信用中国”网站列入失信被执行人和重大税收违法案件当事人名单的、被“中国政府采购网”网站列入政府采购严重违法失信行为记录名单（处罚期限尚未届满的），不得参与本项目的采购活动。（投标人最近一个月内在“信用中国（www.creditchina.gov.cn）”、中国政府采购网（www.ccgp.gov.cn)”的查询中无重大失信等被禁止投标记录，提供查询结果截图打印件加盖公章）</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w:t>
            </w:r>
          </w:p>
          <w:p>
            <w:pPr>
              <w:pStyle w:val="13"/>
              <w:widowControl/>
              <w:autoSpaceDE w:val="0"/>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、单位负责人为同一人或者存在控股、管理关系的不同单位，不得参加同一标段投标或者未划分标段的同一招标项目投标（提供天眼查或企查查、企信宝等查询截图）；</w:t>
            </w:r>
          </w:p>
          <w:p>
            <w:pPr>
              <w:pStyle w:val="13"/>
              <w:widowControl/>
              <w:autoSpaceDE w:val="0"/>
              <w:spacing w:before="0" w:beforeAutospacing="0" w:after="0" w:afterAutospacing="0" w:line="360" w:lineRule="auto"/>
              <w:ind w:firstLine="420" w:firstLineChars="200"/>
              <w:rPr>
                <w:rFonts w:hint="eastAsia" w:ascii="宋体" w:hAnsi="宋体" w:eastAsia="宋体" w:cs="宋体"/>
                <w:color w:val="000000"/>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6</w:t>
            </w:r>
            <w:r>
              <w:rPr>
                <w:rFonts w:hint="eastAsia" w:ascii="宋体" w:hAnsi="宋体" w:eastAsia="宋体" w:cs="宋体"/>
                <w:sz w:val="21"/>
                <w:szCs w:val="21"/>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13</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联合体投标</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踏勘现场</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招标人不统一组织进行踏勘现场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15</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投标人提出问题的截止时间</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截止时间：在投标截止时间</w:t>
            </w:r>
            <w:r>
              <w:rPr>
                <w:rFonts w:hint="eastAsia" w:ascii="宋体" w:hAnsi="宋体" w:eastAsia="宋体" w:cs="宋体"/>
                <w:color w:val="000000"/>
                <w:szCs w:val="21"/>
                <w:u w:val="single"/>
              </w:rPr>
              <w:t xml:space="preserve">10 </w:t>
            </w:r>
            <w:r>
              <w:rPr>
                <w:rFonts w:hint="eastAsia" w:ascii="宋体" w:hAnsi="宋体" w:eastAsia="宋体" w:cs="宋体"/>
                <w:color w:val="000000"/>
                <w:szCs w:val="21"/>
              </w:rPr>
              <w:t>天前</w:t>
            </w:r>
          </w:p>
          <w:p>
            <w:pPr>
              <w:spacing w:line="360" w:lineRule="auto"/>
              <w:rPr>
                <w:rFonts w:hint="eastAsia" w:ascii="宋体" w:hAnsi="宋体" w:eastAsia="宋体" w:cs="宋体"/>
                <w:b/>
                <w:color w:val="000000"/>
                <w:szCs w:val="21"/>
              </w:rPr>
            </w:pPr>
            <w:r>
              <w:rPr>
                <w:rFonts w:hint="eastAsia" w:ascii="宋体" w:hAnsi="宋体" w:eastAsia="宋体" w:cs="宋体"/>
                <w:color w:val="000000"/>
                <w:szCs w:val="21"/>
              </w:rPr>
              <w:t>投标人的提问方式：以书面纸质版递交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招标人澄清的时间</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投标截止时间15天前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构成招标文件的其他材料</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18</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投标有效期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u w:val="single"/>
              </w:rPr>
              <w:t>90</w:t>
            </w:r>
            <w:r>
              <w:rPr>
                <w:rFonts w:hint="eastAsia" w:ascii="宋体" w:hAnsi="宋体" w:eastAsia="宋体" w:cs="宋体"/>
                <w:color w:val="000000"/>
                <w:szCs w:val="21"/>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投标保证金</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招标文件的提供期限</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eastAsia="zh-CN"/>
              </w:rPr>
              <w:t>2024年2月29日</w:t>
            </w:r>
            <w:r>
              <w:rPr>
                <w:rFonts w:hint="eastAsia" w:ascii="宋体" w:hAnsi="宋体" w:eastAsia="宋体" w:cs="宋体"/>
                <w:color w:val="000000"/>
                <w:szCs w:val="21"/>
              </w:rPr>
              <w:t>至</w:t>
            </w:r>
            <w:r>
              <w:rPr>
                <w:rFonts w:hint="eastAsia" w:ascii="宋体" w:hAnsi="宋体" w:eastAsia="宋体" w:cs="宋体"/>
                <w:color w:val="000000"/>
                <w:szCs w:val="21"/>
                <w:lang w:eastAsia="zh-CN"/>
              </w:rPr>
              <w:t>2024年3月7日，</w:t>
            </w:r>
            <w:r>
              <w:rPr>
                <w:rFonts w:hint="eastAsia" w:ascii="宋体" w:hAnsi="宋体" w:eastAsia="宋体" w:cs="宋体"/>
                <w:szCs w:val="21"/>
                <w:highlight w:val="none"/>
                <w:lang w:val="en-US" w:eastAsia="zh-CN"/>
              </w:rPr>
              <w:t>每日上午9:00至12:00，下午14:30至17:00(北京时间)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21</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备选方案</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22</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签字和（或）盖章要求</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按第五章“投标文件格式”要求签字或盖章。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23</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投标文件份数</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4"/>
              </w:rPr>
            </w:pPr>
            <w:r>
              <w:rPr>
                <w:rFonts w:hint="eastAsia" w:ascii="宋体" w:hAnsi="宋体" w:eastAsia="宋体" w:cs="宋体"/>
                <w:b/>
                <w:color w:val="000000"/>
              </w:rPr>
              <w:t>纸质文件</w:t>
            </w:r>
            <w:r>
              <w:rPr>
                <w:rFonts w:hint="eastAsia" w:ascii="宋体" w:hAnsi="宋体" w:eastAsia="宋体" w:cs="宋体"/>
                <w:color w:val="000000"/>
              </w:rPr>
              <w:t>：正本一份，副本四份；电子U盘一份</w:t>
            </w:r>
          </w:p>
          <w:p>
            <w:pPr>
              <w:spacing w:line="360" w:lineRule="auto"/>
              <w:rPr>
                <w:rFonts w:hint="eastAsia" w:ascii="宋体" w:hAnsi="宋体" w:eastAsia="宋体" w:cs="宋体"/>
                <w:color w:val="000000"/>
                <w:szCs w:val="21"/>
              </w:rPr>
            </w:pPr>
            <w:r>
              <w:rPr>
                <w:rFonts w:hint="eastAsia" w:ascii="宋体" w:hAnsi="宋体" w:eastAsia="宋体" w:cs="宋体"/>
                <w:color w:val="000000"/>
              </w:rPr>
              <w:t>投标文件封面上明确写明“正本”或“副本”，正本和副本内容如不一致，以正本为准。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装订要求</w:t>
            </w:r>
          </w:p>
        </w:tc>
        <w:tc>
          <w:tcPr>
            <w:tcW w:w="7088" w:type="dxa"/>
            <w:tcBorders>
              <w:top w:val="single" w:color="auto" w:sz="6" w:space="0"/>
              <w:left w:val="single" w:color="auto" w:sz="6" w:space="0"/>
              <w:bottom w:val="single" w:color="auto" w:sz="6" w:space="0"/>
              <w:right w:val="double" w:color="auto" w:sz="4" w:space="0"/>
            </w:tcBorders>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1、投标文件采用胶装方式装订，装订应牢固、不易拆散和换页，不得采用活页装订，提倡双面打印。</w:t>
            </w:r>
          </w:p>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2、开标一览表须另单独密封一份,并在小密封袋上标明开标一览表字样，与投标文件一同递交。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封套上应载明的信息</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项目名称)投标文件  </w:t>
            </w:r>
          </w:p>
          <w:p>
            <w:pPr>
              <w:spacing w:line="360" w:lineRule="auto"/>
              <w:rPr>
                <w:rFonts w:hint="eastAsia" w:ascii="宋体" w:hAnsi="宋体" w:eastAsia="宋体" w:cs="宋体"/>
                <w:color w:val="000000"/>
                <w:szCs w:val="21"/>
                <w:u w:val="single"/>
              </w:rPr>
            </w:pPr>
            <w:r>
              <w:rPr>
                <w:rFonts w:hint="eastAsia" w:ascii="宋体" w:hAnsi="宋体" w:eastAsia="宋体" w:cs="宋体"/>
                <w:color w:val="000000"/>
                <w:szCs w:val="21"/>
              </w:rPr>
              <w:t>采购人：</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委托代理编号：</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在    年   月    日    时   分之前不得启封 </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kern w:val="0"/>
                <w:szCs w:val="21"/>
              </w:rPr>
              <w:t>投标文件递交时间</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kern w:val="0"/>
                <w:szCs w:val="21"/>
              </w:rPr>
            </w:pP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w:t>
            </w:r>
            <w:r>
              <w:rPr>
                <w:rFonts w:hint="eastAsia" w:ascii="宋体" w:hAnsi="宋体" w:eastAsia="宋体" w:cs="宋体"/>
                <w:color w:val="000000"/>
                <w:kern w:val="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投标截止时间</w:t>
            </w:r>
          </w:p>
        </w:tc>
        <w:tc>
          <w:tcPr>
            <w:tcW w:w="7088" w:type="dxa"/>
            <w:tcBorders>
              <w:top w:val="single" w:color="auto" w:sz="6" w:space="0"/>
              <w:left w:val="single" w:color="auto" w:sz="6" w:space="0"/>
              <w:bottom w:val="single" w:color="auto" w:sz="6" w:space="0"/>
              <w:right w:val="double" w:color="auto" w:sz="4" w:space="0"/>
            </w:tcBorders>
          </w:tcPr>
          <w:p>
            <w:pPr>
              <w:adjustRightInd w:val="0"/>
              <w:snapToGrid w:val="0"/>
              <w:spacing w:line="360" w:lineRule="auto"/>
              <w:rPr>
                <w:rFonts w:hint="eastAsia" w:ascii="宋体" w:hAnsi="宋体" w:eastAsia="宋体" w:cs="宋体"/>
                <w:color w:val="000000"/>
                <w:kern w:val="0"/>
                <w:szCs w:val="21"/>
              </w:rPr>
            </w:pPr>
            <w:r>
              <w:rPr>
                <w:rFonts w:hint="eastAsia" w:ascii="宋体" w:hAnsi="宋体" w:eastAsia="宋体" w:cs="宋体"/>
                <w:color w:val="000000"/>
                <w:szCs w:val="21"/>
                <w:lang w:eastAsia="zh-CN"/>
              </w:rPr>
              <w:t>2024年3月22日</w:t>
            </w:r>
            <w:r>
              <w:rPr>
                <w:rFonts w:hint="eastAsia" w:ascii="宋体" w:hAnsi="宋体" w:eastAsia="宋体" w:cs="宋体"/>
                <w:color w:val="000000"/>
                <w:szCs w:val="21"/>
              </w:rPr>
              <w:t>9时30分</w:t>
            </w:r>
            <w:r>
              <w:rPr>
                <w:rFonts w:hint="eastAsia" w:ascii="宋体" w:hAnsi="宋体" w:eastAsia="宋体" w:cs="宋体"/>
                <w:color w:val="000000"/>
                <w:kern w:val="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28</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投标文件的递交地点</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rPr>
            </w:pPr>
            <w:r>
              <w:rPr>
                <w:rFonts w:hint="eastAsia" w:ascii="宋体" w:hAnsi="宋体" w:eastAsia="宋体" w:cs="宋体"/>
                <w:color w:val="000000"/>
                <w:sz w:val="21"/>
                <w:szCs w:val="21"/>
              </w:rPr>
              <w:t>投标地点：湖南东君项目管理有限公司开标室；地址：岳阳市岳阳楼区洞庭大道黄金街桃源新村北栋二楼201号）。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29</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是否退还投标文件</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u w:val="single"/>
              </w:rPr>
            </w:pPr>
            <w:r>
              <w:rPr>
                <w:rFonts w:hint="eastAsia" w:ascii="宋体" w:hAnsi="宋体" w:eastAsia="宋体" w:cs="宋体"/>
                <w:color w:val="000000"/>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开标时间和地点</w:t>
            </w:r>
          </w:p>
        </w:tc>
        <w:tc>
          <w:tcPr>
            <w:tcW w:w="7088" w:type="dxa"/>
            <w:tcBorders>
              <w:top w:val="single" w:color="auto" w:sz="6" w:space="0"/>
              <w:left w:val="single" w:color="auto" w:sz="6" w:space="0"/>
              <w:bottom w:val="single" w:color="auto" w:sz="6" w:space="0"/>
              <w:right w:val="double" w:color="auto" w:sz="4" w:space="0"/>
            </w:tcBorders>
            <w:vAlign w:val="center"/>
          </w:tcPr>
          <w:p>
            <w:pPr>
              <w:pStyle w:val="3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开标时间：同投标截止时间。</w:t>
            </w:r>
          </w:p>
          <w:p>
            <w:pPr>
              <w:pStyle w:val="30"/>
              <w:spacing w:line="360" w:lineRule="auto"/>
              <w:rPr>
                <w:rFonts w:hint="eastAsia" w:ascii="宋体" w:hAnsi="宋体" w:eastAsia="宋体" w:cs="宋体"/>
                <w:color w:val="000000"/>
                <w:szCs w:val="21"/>
              </w:rPr>
            </w:pPr>
            <w:r>
              <w:rPr>
                <w:rFonts w:hint="eastAsia" w:ascii="宋体" w:hAnsi="宋体" w:eastAsia="宋体" w:cs="宋体"/>
                <w:color w:val="000000"/>
                <w:sz w:val="21"/>
                <w:szCs w:val="21"/>
              </w:rPr>
              <w:t>开标地点：湖南东君项目管理有限公司开标室；地址：岳阳市岳阳楼区洞庭大道黄金街桃源新村北栋二楼201号）。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评审原则</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32</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工期</w:t>
            </w:r>
          </w:p>
        </w:tc>
        <w:tc>
          <w:tcPr>
            <w:tcW w:w="7088" w:type="dxa"/>
            <w:tcBorders>
              <w:top w:val="single" w:color="auto" w:sz="6" w:space="0"/>
              <w:left w:val="single" w:color="auto" w:sz="6" w:space="0"/>
              <w:bottom w:val="single" w:color="auto" w:sz="6" w:space="0"/>
              <w:right w:val="doub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lang w:val="en-US" w:eastAsia="zh-CN"/>
              </w:rPr>
              <w:t>45</w:t>
            </w:r>
            <w:r>
              <w:rPr>
                <w:rFonts w:hint="eastAsia" w:ascii="宋体" w:hAnsi="宋体" w:eastAsia="宋体" w:cs="宋体"/>
                <w:color w:val="000000"/>
                <w:szCs w:val="21"/>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33</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评标委员会的组建</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评标委员会由5人组成（含业主评委一名）。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34</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指定的媒体</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lang w:val="en-US" w:eastAsia="zh-CN"/>
              </w:rPr>
              <w:t>湖南临港开发投资集团有限公司官网（http://www.hngtjt.cn/）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35</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样品提供的规定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b/>
                <w:color w:val="000000"/>
                <w:szCs w:val="21"/>
              </w:rPr>
            </w:pPr>
            <w:r>
              <w:rPr>
                <w:rFonts w:hint="eastAsia" w:ascii="宋体" w:hAnsi="宋体" w:eastAsia="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36</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ind w:left="9" w:hanging="9"/>
              <w:rPr>
                <w:rFonts w:hint="eastAsia" w:ascii="宋体" w:hAnsi="宋体" w:eastAsia="宋体" w:cs="宋体"/>
                <w:color w:val="000000"/>
                <w:szCs w:val="21"/>
              </w:rPr>
            </w:pPr>
            <w:r>
              <w:rPr>
                <w:rFonts w:hint="eastAsia" w:ascii="宋体" w:hAnsi="宋体" w:eastAsia="宋体" w:cs="宋体"/>
                <w:color w:val="000000"/>
                <w:szCs w:val="21"/>
              </w:rPr>
              <w:t>招标代理服务费</w:t>
            </w:r>
          </w:p>
        </w:tc>
        <w:tc>
          <w:tcPr>
            <w:tcW w:w="7088" w:type="dxa"/>
            <w:tcBorders>
              <w:top w:val="single" w:color="auto" w:sz="6" w:space="0"/>
              <w:left w:val="single" w:color="auto" w:sz="6" w:space="0"/>
              <w:bottom w:val="single" w:color="auto" w:sz="6" w:space="0"/>
              <w:right w:val="double" w:color="auto" w:sz="4" w:space="0"/>
            </w:tcBorders>
            <w:vAlign w:val="center"/>
          </w:tcPr>
          <w:p>
            <w:pPr>
              <w:autoSpaceDN w:val="0"/>
              <w:spacing w:line="360" w:lineRule="auto"/>
              <w:jc w:val="left"/>
              <w:textAlignment w:val="center"/>
              <w:rPr>
                <w:rFonts w:hint="eastAsia" w:ascii="宋体" w:hAnsi="宋体" w:eastAsia="宋体" w:cs="宋体"/>
                <w:szCs w:val="24"/>
              </w:rPr>
            </w:pPr>
            <w:r>
              <w:rPr>
                <w:rFonts w:hint="eastAsia" w:ascii="宋体" w:hAnsi="宋体" w:eastAsia="宋体" w:cs="宋体"/>
              </w:rPr>
              <w:t>招标代理服务费5000元由中标人支付，（招标代理服务费的币种：人民币）</w:t>
            </w:r>
          </w:p>
          <w:p>
            <w:pPr>
              <w:autoSpaceDN w:val="0"/>
              <w:spacing w:line="360" w:lineRule="auto"/>
              <w:jc w:val="left"/>
              <w:textAlignment w:val="center"/>
              <w:rPr>
                <w:rFonts w:hint="eastAsia" w:ascii="宋体" w:hAnsi="宋体" w:eastAsia="宋体" w:cs="宋体"/>
                <w:szCs w:val="24"/>
              </w:rPr>
            </w:pPr>
            <w:r>
              <w:rPr>
                <w:rFonts w:hint="eastAsia" w:ascii="宋体" w:hAnsi="宋体" w:eastAsia="宋体" w:cs="宋体"/>
              </w:rPr>
              <w:t>评标费按湘发改公管〔</w:t>
            </w:r>
            <w:r>
              <w:rPr>
                <w:rFonts w:hint="eastAsia" w:ascii="宋体" w:hAnsi="宋体" w:eastAsia="宋体" w:cs="宋体"/>
                <w:lang w:eastAsia="zh-CN"/>
              </w:rPr>
              <w:t>2021</w:t>
            </w:r>
            <w:r>
              <w:rPr>
                <w:rFonts w:hint="eastAsia" w:ascii="宋体" w:hAnsi="宋体" w:eastAsia="宋体" w:cs="宋体"/>
              </w:rPr>
              <w:t>〕963号文件收取。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37</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开标到场人员要求</w:t>
            </w:r>
          </w:p>
        </w:tc>
        <w:tc>
          <w:tcPr>
            <w:tcW w:w="7088"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宋体"/>
                <w:bCs/>
                <w:color w:val="000000"/>
                <w:szCs w:val="24"/>
              </w:rPr>
            </w:pPr>
            <w:r>
              <w:rPr>
                <w:rFonts w:hint="eastAsia" w:ascii="宋体" w:hAnsi="宋体" w:eastAsia="宋体" w:cs="宋体"/>
                <w:szCs w:val="21"/>
              </w:rPr>
              <w:t>法定代表人投标的开标时必须提供法定代表人身份证原件，如果法定代表人委托他人参加投标的，开标时必须提供法定代表人签发的授权委托书原件及代理人身份证原件。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38</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无效投标的规定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投标文件属下列情况之一的，应在资格性、符合性检查时按照无效投标处理：</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（1）应交未交投标保证金或金额不足、保函有效期不足、投标保证金形式或投标保函出证机构不符合招标文件要求的；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（2）未按照招标文件规定要求密封、签署、盖章的；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（3）联合体没有提交联合体协议书</w:t>
            </w:r>
            <w:r>
              <w:rPr>
                <w:rFonts w:hint="eastAsia" w:ascii="宋体" w:hAnsi="宋体" w:eastAsia="宋体" w:cs="宋体"/>
                <w:bCs/>
                <w:color w:val="000000"/>
                <w:szCs w:val="21"/>
              </w:rPr>
              <w:t>，</w:t>
            </w:r>
            <w:r>
              <w:rPr>
                <w:rFonts w:hint="eastAsia" w:ascii="宋体" w:hAnsi="宋体" w:eastAsia="宋体" w:cs="宋体"/>
                <w:color w:val="000000"/>
                <w:szCs w:val="21"/>
              </w:rPr>
              <w:t>或未提交联合体各方资格证明文件</w:t>
            </w:r>
            <w:r>
              <w:rPr>
                <w:rFonts w:hint="eastAsia" w:ascii="宋体" w:hAnsi="宋体" w:eastAsia="宋体" w:cs="宋体"/>
                <w:bCs/>
                <w:color w:val="000000"/>
                <w:szCs w:val="21"/>
              </w:rPr>
              <w:t>，</w:t>
            </w:r>
            <w:r>
              <w:rPr>
                <w:rFonts w:hint="eastAsia" w:ascii="宋体" w:hAnsi="宋体" w:eastAsia="宋体" w:cs="宋体"/>
                <w:color w:val="000000"/>
                <w:szCs w:val="21"/>
              </w:rPr>
              <w:t>或联合体</w:t>
            </w:r>
            <w:r>
              <w:rPr>
                <w:rFonts w:hint="eastAsia" w:ascii="宋体" w:hAnsi="宋体" w:eastAsia="宋体" w:cs="宋体"/>
                <w:color w:val="000000"/>
                <w:kern w:val="0"/>
                <w:szCs w:val="21"/>
              </w:rPr>
              <w:t>牵头方</w:t>
            </w:r>
            <w:r>
              <w:rPr>
                <w:rFonts w:hint="eastAsia" w:ascii="宋体" w:hAnsi="宋体" w:eastAsia="宋体" w:cs="宋体"/>
                <w:color w:val="000000"/>
                <w:szCs w:val="21"/>
              </w:rPr>
              <w:t>不符合第二章“投标人须知”第3.1</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规定的供应商资格条件</w:t>
            </w:r>
            <w:r>
              <w:rPr>
                <w:rFonts w:hint="eastAsia" w:ascii="宋体" w:hAnsi="宋体" w:eastAsia="宋体" w:cs="宋体"/>
                <w:bCs/>
                <w:color w:val="000000"/>
                <w:szCs w:val="21"/>
              </w:rPr>
              <w:t>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（4）参加采购活动前三年内，在经营活动中有重大违法记录的； </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（5）不具备第二章“投标人须知”第3.1</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规定资格要求的；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（6）投标报价超过采购项目预算的；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（7）同一投标人提交两个以上不同的投标文件或者投标报价的，但第二章“投标人须知”第16.3</w:t>
            </w:r>
            <w:r>
              <w:rPr>
                <w:rFonts w:hint="eastAsia" w:ascii="宋体" w:hAnsi="宋体" w:eastAsia="宋体" w:cs="宋体"/>
                <w:color w:val="000000"/>
                <w:kern w:val="0"/>
                <w:szCs w:val="21"/>
                <w:lang w:val="zh-CN"/>
              </w:rPr>
              <w:t>款</w:t>
            </w:r>
            <w:r>
              <w:rPr>
                <w:rFonts w:hint="eastAsia" w:ascii="宋体" w:hAnsi="宋体" w:eastAsia="宋体" w:cs="宋体"/>
                <w:color w:val="000000"/>
                <w:szCs w:val="21"/>
              </w:rPr>
              <w:t>允许提交备选方案的除外；</w:t>
            </w:r>
          </w:p>
          <w:p>
            <w:pPr>
              <w:tabs>
                <w:tab w:val="left" w:pos="3105"/>
              </w:tabs>
              <w:adjustRightInd w:val="0"/>
              <w:snapToGrid w:val="0"/>
              <w:spacing w:line="360" w:lineRule="auto"/>
              <w:rPr>
                <w:rFonts w:hint="eastAsia" w:ascii="宋体" w:hAnsi="宋体" w:eastAsia="宋体" w:cs="宋体"/>
                <w:color w:val="000000"/>
                <w:kern w:val="0"/>
                <w:szCs w:val="24"/>
              </w:rPr>
            </w:pPr>
            <w:r>
              <w:rPr>
                <w:rFonts w:hint="eastAsia" w:ascii="宋体" w:hAnsi="宋体" w:eastAsia="宋体" w:cs="宋体"/>
                <w:color w:val="000000"/>
                <w:szCs w:val="21"/>
              </w:rPr>
              <w:t>（8）</w:t>
            </w:r>
            <w:r>
              <w:rPr>
                <w:rFonts w:hint="eastAsia" w:ascii="宋体" w:hAnsi="宋体" w:eastAsia="宋体" w:cs="宋体"/>
                <w:color w:val="000000"/>
                <w:kern w:val="0"/>
              </w:rPr>
              <w:t>投标文件载明的投标范围小于招标文件规定的招标范围的(</w:t>
            </w:r>
            <w:r>
              <w:rPr>
                <w:rFonts w:hint="eastAsia" w:ascii="宋体" w:hAnsi="宋体" w:eastAsia="宋体" w:cs="宋体"/>
                <w:color w:val="000000"/>
                <w:szCs w:val="21"/>
              </w:rPr>
              <w:t>缺漏招标文件所要求的内容)</w:t>
            </w:r>
            <w:r>
              <w:rPr>
                <w:rFonts w:hint="eastAsia" w:ascii="宋体" w:hAnsi="宋体" w:eastAsia="宋体" w:cs="宋体"/>
                <w:color w:val="000000"/>
                <w:kern w:val="0"/>
              </w:rPr>
              <w:t>；</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（9）投标有效期不足的；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（10）不符合法律、法规和招标文件规定的。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60" w:hRule="atLeast"/>
          <w:jc w:val="center"/>
        </w:trPr>
        <w:tc>
          <w:tcPr>
            <w:tcW w:w="710"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39</w:t>
            </w:r>
          </w:p>
        </w:tc>
        <w:tc>
          <w:tcPr>
            <w:tcW w:w="19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废标的规定</w:t>
            </w:r>
          </w:p>
        </w:tc>
        <w:tc>
          <w:tcPr>
            <w:tcW w:w="7088"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有下列情形之一时，评标委员会应予废标：</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（1）符合专业条件的投标人或者对招标文件作实质性响应的投标人不足三家的；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（2）出现影响采购公正的违法、违规行为的；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（3）投标人的报价均超过了采购预算的；</w:t>
            </w:r>
          </w:p>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（4）因重大变故，采购任务取消的。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10" w:type="dxa"/>
            <w:tcBorders>
              <w:top w:val="single" w:color="auto" w:sz="6" w:space="0"/>
              <w:left w:val="double" w:color="auto" w:sz="4" w:space="0"/>
              <w:bottom w:val="double" w:color="auto" w:sz="4" w:space="0"/>
              <w:right w:val="single" w:color="auto" w:sz="6" w:space="0"/>
            </w:tcBorders>
            <w:vAlign w:val="center"/>
          </w:tcPr>
          <w:p>
            <w:pPr>
              <w:adjustRightInd w:val="0"/>
              <w:snapToGrid w:val="0"/>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31</w:t>
            </w:r>
          </w:p>
        </w:tc>
        <w:tc>
          <w:tcPr>
            <w:tcW w:w="1984" w:type="dxa"/>
            <w:tcBorders>
              <w:top w:val="single" w:color="auto" w:sz="6" w:space="0"/>
              <w:left w:val="single" w:color="auto" w:sz="6" w:space="0"/>
              <w:bottom w:val="double" w:color="auto" w:sz="4" w:space="0"/>
              <w:right w:val="single" w:color="auto" w:sz="6"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其他</w:t>
            </w:r>
          </w:p>
        </w:tc>
        <w:tc>
          <w:tcPr>
            <w:tcW w:w="7088" w:type="dxa"/>
            <w:tcBorders>
              <w:top w:val="single" w:color="auto" w:sz="6" w:space="0"/>
              <w:left w:val="single" w:color="auto" w:sz="6" w:space="0"/>
              <w:bottom w:val="double" w:color="auto" w:sz="4" w:space="0"/>
              <w:right w:val="double" w:color="auto" w:sz="4" w:space="0"/>
            </w:tcBorders>
            <w:vAlign w:val="center"/>
          </w:tcPr>
          <w:p>
            <w:pPr>
              <w:adjustRightInd w:val="0"/>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 xml:space="preserve">结算方式按合同规定，按合同结算。  </w:t>
            </w:r>
          </w:p>
        </w:tc>
      </w:tr>
    </w:tbl>
    <w:p>
      <w:pPr>
        <w:widowControl/>
        <w:jc w:val="left"/>
        <w:rPr>
          <w:rFonts w:hint="eastAsia" w:ascii="宋体" w:hAnsi="宋体" w:eastAsia="宋体" w:cs="宋体"/>
          <w:color w:val="000000"/>
          <w:sz w:val="32"/>
          <w:szCs w:val="32"/>
        </w:rPr>
      </w:pPr>
    </w:p>
    <w:p>
      <w:pPr>
        <w:widowControl/>
        <w:jc w:val="left"/>
        <w:rPr>
          <w:rFonts w:hint="eastAsia" w:ascii="宋体" w:hAnsi="宋体" w:eastAsia="宋体" w:cs="宋体"/>
          <w:color w:val="000000"/>
          <w:sz w:val="32"/>
          <w:szCs w:val="32"/>
        </w:rPr>
      </w:pPr>
    </w:p>
    <w:p>
      <w:pPr>
        <w:pStyle w:val="20"/>
        <w:ind w:firstLine="0" w:firstLineChars="0"/>
        <w:rPr>
          <w:rFonts w:hint="eastAsia" w:ascii="宋体" w:hAnsi="宋体" w:eastAsia="宋体" w:cs="宋体"/>
          <w:color w:val="000000"/>
          <w:sz w:val="32"/>
          <w:szCs w:val="32"/>
        </w:rPr>
      </w:pPr>
    </w:p>
    <w:p>
      <w:pPr>
        <w:pStyle w:val="20"/>
        <w:ind w:firstLine="0" w:firstLineChars="0"/>
        <w:rPr>
          <w:rFonts w:hint="eastAsia" w:ascii="宋体" w:hAnsi="宋体" w:eastAsia="宋体" w:cs="宋体"/>
          <w:color w:val="000000"/>
          <w:sz w:val="32"/>
          <w:szCs w:val="32"/>
        </w:rPr>
      </w:pPr>
    </w:p>
    <w:p>
      <w:pPr>
        <w:widowControl/>
        <w:jc w:val="center"/>
        <w:rPr>
          <w:rFonts w:hint="eastAsia" w:ascii="宋体" w:hAnsi="宋体" w:eastAsia="宋体" w:cs="宋体"/>
          <w:color w:val="000000"/>
          <w:sz w:val="32"/>
          <w:szCs w:val="32"/>
        </w:rPr>
      </w:pPr>
    </w:p>
    <w:p>
      <w:pPr>
        <w:widowControl/>
        <w:jc w:val="both"/>
        <w:rPr>
          <w:rFonts w:hint="eastAsia" w:ascii="宋体" w:hAnsi="宋体" w:eastAsia="宋体" w:cs="宋体"/>
          <w:color w:val="000000"/>
          <w:sz w:val="32"/>
          <w:szCs w:val="32"/>
        </w:rPr>
      </w:pPr>
    </w:p>
    <w:p>
      <w:pPr>
        <w:widowControl/>
        <w:jc w:val="center"/>
        <w:rPr>
          <w:rFonts w:hint="eastAsia" w:ascii="宋体" w:hAnsi="宋体" w:eastAsia="宋体" w:cs="宋体"/>
          <w:color w:val="000000"/>
          <w:szCs w:val="24"/>
        </w:rPr>
      </w:pPr>
      <w:r>
        <w:rPr>
          <w:rFonts w:hint="eastAsia" w:ascii="宋体" w:hAnsi="宋体" w:eastAsia="宋体" w:cs="宋体"/>
          <w:color w:val="000000"/>
          <w:sz w:val="32"/>
          <w:szCs w:val="32"/>
        </w:rPr>
        <w:t>二、投标人须知</w:t>
      </w:r>
    </w:p>
    <w:p>
      <w:pPr>
        <w:spacing w:before="120" w:beforeLines="50" w:after="120" w:afterLines="50"/>
        <w:rPr>
          <w:rFonts w:hint="eastAsia" w:ascii="宋体" w:hAnsi="宋体" w:eastAsia="宋体" w:cs="宋体"/>
          <w:b/>
          <w:color w:val="000000"/>
          <w:sz w:val="24"/>
        </w:rPr>
      </w:pPr>
      <w:bookmarkStart w:id="3" w:name="_Toc495964940"/>
      <w:r>
        <w:rPr>
          <w:rFonts w:hint="eastAsia" w:ascii="宋体" w:hAnsi="宋体" w:eastAsia="宋体" w:cs="宋体"/>
          <w:b/>
          <w:color w:val="000000"/>
          <w:sz w:val="24"/>
        </w:rPr>
        <w:t>1.1 定义</w:t>
      </w:r>
      <w:bookmarkEnd w:id="3"/>
    </w:p>
    <w:p>
      <w:pPr>
        <w:snapToGrid w:val="0"/>
        <w:spacing w:line="500" w:lineRule="exact"/>
        <w:ind w:right="105" w:rightChars="50" w:firstLine="420" w:firstLineChars="200"/>
        <w:rPr>
          <w:rFonts w:hint="eastAsia" w:ascii="宋体" w:hAnsi="宋体" w:eastAsia="宋体" w:cs="宋体"/>
          <w:color w:val="000000"/>
          <w:szCs w:val="21"/>
        </w:rPr>
      </w:pPr>
      <w:r>
        <w:rPr>
          <w:rFonts w:hint="eastAsia" w:ascii="宋体" w:hAnsi="宋体" w:eastAsia="宋体" w:cs="宋体"/>
          <w:color w:val="000000"/>
          <w:szCs w:val="21"/>
        </w:rPr>
        <w:t>1.1.1 “招标人”系指</w:t>
      </w:r>
      <w:r>
        <w:rPr>
          <w:rFonts w:hint="eastAsia" w:ascii="宋体" w:hAnsi="宋体" w:eastAsia="宋体" w:cs="宋体"/>
          <w:color w:val="000000"/>
          <w:szCs w:val="21"/>
          <w:u w:val="single"/>
        </w:rPr>
        <w:t>湖南中昌新能源有限公司</w:t>
      </w:r>
      <w:r>
        <w:rPr>
          <w:rFonts w:hint="eastAsia" w:ascii="宋体" w:hAnsi="宋体" w:eastAsia="宋体" w:cs="宋体"/>
          <w:color w:val="000000"/>
          <w:szCs w:val="21"/>
        </w:rPr>
        <w:t>。</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1.1.2 “代理机构”系指湖南东君项目管理有限公司。</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1.1.3 “投标人”系指参加开标会议并响应招标人要约邀请的投标人。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1.1.4 “招标文件”系指本文件，即招标人的要约邀请。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1.1.5 “投标文件”系指投标人根据招标文件作出的针对本项目的承诺。</w:t>
      </w:r>
    </w:p>
    <w:p>
      <w:pPr>
        <w:snapToGrid w:val="0"/>
        <w:spacing w:line="500" w:lineRule="exact"/>
        <w:ind w:right="105" w:rightChars="50" w:firstLine="420" w:firstLineChars="200"/>
        <w:rPr>
          <w:rFonts w:hint="eastAsia" w:ascii="宋体" w:hAnsi="宋体" w:eastAsia="宋体" w:cs="宋体"/>
          <w:color w:val="000000"/>
          <w:szCs w:val="21"/>
        </w:rPr>
      </w:pPr>
      <w:r>
        <w:rPr>
          <w:rFonts w:hint="eastAsia" w:ascii="宋体" w:hAnsi="宋体" w:eastAsia="宋体" w:cs="宋体"/>
          <w:color w:val="000000"/>
          <w:szCs w:val="21"/>
        </w:rPr>
        <w:t>1.1.6 “中标人”系指递交的投标文件被招标人接受并作出承诺的投标人。</w:t>
      </w:r>
    </w:p>
    <w:p>
      <w:pPr>
        <w:spacing w:before="120" w:beforeLines="50" w:after="120" w:afterLines="50"/>
        <w:rPr>
          <w:rFonts w:hint="eastAsia" w:ascii="宋体" w:hAnsi="宋体" w:eastAsia="宋体" w:cs="宋体"/>
          <w:b/>
          <w:color w:val="000000"/>
          <w:sz w:val="24"/>
          <w:szCs w:val="24"/>
        </w:rPr>
      </w:pPr>
      <w:bookmarkStart w:id="4" w:name="_Toc286929429"/>
      <w:bookmarkStart w:id="5" w:name="_Toc144974498"/>
      <w:bookmarkStart w:id="6" w:name="_Toc287015556"/>
      <w:bookmarkStart w:id="7" w:name="_Toc495964941"/>
      <w:bookmarkStart w:id="8" w:name="_Toc152045530"/>
      <w:bookmarkStart w:id="9" w:name="_Toc152042306"/>
      <w:bookmarkStart w:id="10" w:name="_Toc294124158"/>
      <w:bookmarkStart w:id="11" w:name="_Toc179632547"/>
      <w:r>
        <w:rPr>
          <w:rFonts w:hint="eastAsia" w:ascii="宋体" w:hAnsi="宋体" w:eastAsia="宋体" w:cs="宋体"/>
          <w:b/>
          <w:color w:val="000000"/>
          <w:sz w:val="24"/>
        </w:rPr>
        <w:t>1.2 项目概况</w:t>
      </w:r>
      <w:bookmarkEnd w:id="4"/>
      <w:bookmarkEnd w:id="5"/>
      <w:bookmarkEnd w:id="6"/>
      <w:bookmarkEnd w:id="7"/>
      <w:bookmarkEnd w:id="8"/>
      <w:bookmarkEnd w:id="9"/>
      <w:bookmarkEnd w:id="10"/>
      <w:bookmarkEnd w:id="1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1.2.1本项目为</w:t>
      </w:r>
      <w:r>
        <w:rPr>
          <w:rFonts w:hint="eastAsia" w:ascii="宋体" w:hAnsi="宋体" w:eastAsia="宋体" w:cs="宋体"/>
          <w:color w:val="000000"/>
          <w:szCs w:val="21"/>
          <w:u w:val="single"/>
        </w:rPr>
        <w:t>长沙汇富中心充电站项目</w:t>
      </w:r>
      <w:r>
        <w:rPr>
          <w:rFonts w:hint="eastAsia" w:ascii="宋体" w:hAnsi="宋体" w:eastAsia="宋体" w:cs="宋体"/>
          <w:color w:val="000000"/>
          <w:szCs w:val="21"/>
        </w:rPr>
        <w:t>。</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1.2.2 本招标项目招标人：见投标人须知前附表。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1.2.3 本项目招标代理机构：见投标人须知前附表。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1.2.4 本招标项目名称：见投标人须知前附表。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1.2.5 本项目实施地点：见投标人须知前附表。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1.2.6根据《中华人民共和国招标投标法》等有关法律、法规和规章的规定，本招标项目已具备招标条件，现对本项目进行招标。</w:t>
      </w:r>
    </w:p>
    <w:p>
      <w:pPr>
        <w:spacing w:before="120" w:beforeLines="50" w:after="120" w:afterLines="50"/>
        <w:rPr>
          <w:rFonts w:hint="eastAsia" w:ascii="宋体" w:hAnsi="宋体" w:eastAsia="宋体" w:cs="宋体"/>
          <w:b/>
          <w:color w:val="000000"/>
          <w:sz w:val="24"/>
          <w:szCs w:val="24"/>
        </w:rPr>
      </w:pPr>
      <w:bookmarkStart w:id="12" w:name="_Toc287015557"/>
      <w:bookmarkStart w:id="13" w:name="_Toc144974499"/>
      <w:bookmarkStart w:id="14" w:name="_Toc294124159"/>
      <w:bookmarkStart w:id="15" w:name="_Toc152045531"/>
      <w:bookmarkStart w:id="16" w:name="_Toc152042307"/>
      <w:bookmarkStart w:id="17" w:name="_Toc286929430"/>
      <w:bookmarkStart w:id="18" w:name="_Toc495964942"/>
      <w:bookmarkStart w:id="19" w:name="_Toc179632548"/>
      <w:r>
        <w:rPr>
          <w:rFonts w:hint="eastAsia" w:ascii="宋体" w:hAnsi="宋体" w:eastAsia="宋体" w:cs="宋体"/>
          <w:b/>
          <w:color w:val="000000"/>
          <w:sz w:val="24"/>
        </w:rPr>
        <w:t>1.3 资金来源和落实情况</w:t>
      </w:r>
      <w:bookmarkEnd w:id="12"/>
      <w:bookmarkEnd w:id="13"/>
      <w:bookmarkEnd w:id="14"/>
      <w:bookmarkEnd w:id="15"/>
      <w:bookmarkEnd w:id="16"/>
      <w:bookmarkEnd w:id="17"/>
      <w:bookmarkEnd w:id="18"/>
      <w:bookmarkEnd w:id="1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1.3.1 本招标项目的资金来源：见投标人须知前附表。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1.3.2 本招标项目的出资比例：见投标人须知前附表。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1.3.3 本招标项目的资金落实情况：见投标人须知前附表。</w:t>
      </w:r>
    </w:p>
    <w:p>
      <w:pPr>
        <w:spacing w:before="120" w:beforeLines="50" w:after="120" w:afterLines="50"/>
        <w:rPr>
          <w:rFonts w:hint="eastAsia" w:ascii="宋体" w:hAnsi="宋体" w:eastAsia="宋体" w:cs="宋体"/>
          <w:b/>
          <w:color w:val="000000"/>
          <w:sz w:val="24"/>
          <w:szCs w:val="24"/>
        </w:rPr>
      </w:pPr>
      <w:bookmarkStart w:id="20" w:name="_Toc286929431"/>
      <w:bookmarkStart w:id="21" w:name="_Toc179632549"/>
      <w:bookmarkStart w:id="22" w:name="_Toc152045532"/>
      <w:bookmarkStart w:id="23" w:name="_Toc287015558"/>
      <w:bookmarkStart w:id="24" w:name="_Toc294124160"/>
      <w:bookmarkStart w:id="25" w:name="_Toc495964943"/>
      <w:bookmarkStart w:id="26" w:name="_Toc152042308"/>
      <w:bookmarkStart w:id="27" w:name="_Toc144974500"/>
      <w:r>
        <w:rPr>
          <w:rFonts w:hint="eastAsia" w:ascii="宋体" w:hAnsi="宋体" w:eastAsia="宋体" w:cs="宋体"/>
          <w:b/>
          <w:color w:val="000000"/>
          <w:sz w:val="24"/>
        </w:rPr>
        <w:t>1.4 招标范围、实施周期和质量要求</w:t>
      </w:r>
      <w:bookmarkEnd w:id="20"/>
      <w:bookmarkEnd w:id="21"/>
      <w:bookmarkEnd w:id="22"/>
      <w:bookmarkEnd w:id="23"/>
      <w:bookmarkEnd w:id="24"/>
      <w:bookmarkEnd w:id="25"/>
      <w:bookmarkEnd w:id="26"/>
      <w:bookmarkEnd w:id="2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1.4.1 本次招标范围：见投标人须知前附表。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1.4.2 本项目的实施周期：见投标人须知前附表。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1.4.3 本项目的质量要求：见投标人须知前附表。</w:t>
      </w:r>
    </w:p>
    <w:p>
      <w:pPr>
        <w:spacing w:before="120" w:beforeLines="50" w:after="120" w:afterLines="50"/>
        <w:rPr>
          <w:rFonts w:hint="eastAsia" w:ascii="宋体" w:hAnsi="宋体" w:eastAsia="宋体" w:cs="宋体"/>
          <w:b/>
          <w:color w:val="000000"/>
          <w:sz w:val="24"/>
          <w:szCs w:val="24"/>
        </w:rPr>
      </w:pPr>
      <w:bookmarkStart w:id="28" w:name="_Toc495964944"/>
      <w:bookmarkStart w:id="29" w:name="_Toc179632551"/>
      <w:bookmarkStart w:id="30" w:name="_Toc144974502"/>
      <w:bookmarkStart w:id="31" w:name="_Toc287015560"/>
      <w:bookmarkStart w:id="32" w:name="_Toc152045534"/>
      <w:bookmarkStart w:id="33" w:name="_Toc286929433"/>
      <w:bookmarkStart w:id="34" w:name="_Toc152042310"/>
      <w:bookmarkStart w:id="35" w:name="_Toc294124162"/>
      <w:r>
        <w:rPr>
          <w:rFonts w:hint="eastAsia" w:ascii="宋体" w:hAnsi="宋体" w:eastAsia="宋体" w:cs="宋体"/>
          <w:b/>
          <w:color w:val="000000"/>
          <w:sz w:val="24"/>
        </w:rPr>
        <w:t>1.5 投标人资格要求</w:t>
      </w:r>
      <w:bookmarkEnd w:id="28"/>
      <w:bookmarkEnd w:id="29"/>
      <w:bookmarkEnd w:id="30"/>
      <w:bookmarkEnd w:id="31"/>
      <w:bookmarkEnd w:id="32"/>
      <w:bookmarkEnd w:id="33"/>
      <w:bookmarkEnd w:id="34"/>
      <w:bookmarkEnd w:id="35"/>
    </w:p>
    <w:p>
      <w:pPr>
        <w:snapToGrid w:val="0"/>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1.5.1投标人必须具备前附表所要求的资格。</w:t>
      </w:r>
    </w:p>
    <w:p>
      <w:pPr>
        <w:spacing w:line="500" w:lineRule="exact"/>
        <w:ind w:left="1" w:firstLine="420" w:firstLineChars="200"/>
        <w:rPr>
          <w:rFonts w:hint="eastAsia" w:ascii="宋体" w:hAnsi="宋体" w:eastAsia="宋体" w:cs="宋体"/>
          <w:color w:val="000000"/>
          <w:szCs w:val="21"/>
        </w:rPr>
      </w:pPr>
      <w:r>
        <w:rPr>
          <w:rFonts w:hint="eastAsia" w:ascii="宋体" w:hAnsi="宋体" w:eastAsia="宋体" w:cs="宋体"/>
          <w:color w:val="000000"/>
          <w:szCs w:val="21"/>
        </w:rPr>
        <w:t>1.5.2为具有被授予合同的资格，投标人应提供令招标人满意的资格文件，以证明其符合招标文件所要求资格和具有履行合同的能力。</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投标人对提供的以上资料的真实性负责，评标过程中评标委员若对以上投标人提供的资料有异议，可要求投标人提供原件进行复核，若发现有不实之处，按无效投标处理。</w:t>
      </w:r>
    </w:p>
    <w:p>
      <w:pPr>
        <w:spacing w:before="120" w:beforeLines="50" w:after="120" w:afterLines="50"/>
        <w:rPr>
          <w:rFonts w:hint="eastAsia" w:ascii="宋体" w:hAnsi="宋体" w:eastAsia="宋体" w:cs="宋体"/>
          <w:b/>
          <w:color w:val="000000"/>
          <w:sz w:val="24"/>
          <w:szCs w:val="24"/>
        </w:rPr>
      </w:pPr>
      <w:bookmarkStart w:id="36" w:name="_Toc144974503"/>
      <w:bookmarkStart w:id="37" w:name="_Toc152045535"/>
      <w:bookmarkStart w:id="38" w:name="_Toc495964945"/>
      <w:bookmarkStart w:id="39" w:name="_Toc294124163"/>
      <w:bookmarkStart w:id="40" w:name="_Toc152042311"/>
      <w:bookmarkStart w:id="41" w:name="_Toc287015561"/>
      <w:bookmarkStart w:id="42" w:name="_Toc286929434"/>
      <w:bookmarkStart w:id="43" w:name="_Toc179632552"/>
      <w:r>
        <w:rPr>
          <w:rFonts w:hint="eastAsia" w:ascii="宋体" w:hAnsi="宋体" w:eastAsia="宋体" w:cs="宋体"/>
          <w:b/>
          <w:color w:val="000000"/>
          <w:sz w:val="24"/>
        </w:rPr>
        <w:t>1.6 费用承担</w:t>
      </w:r>
      <w:bookmarkEnd w:id="36"/>
      <w:bookmarkEnd w:id="37"/>
      <w:bookmarkEnd w:id="38"/>
      <w:bookmarkEnd w:id="39"/>
      <w:bookmarkEnd w:id="40"/>
      <w:bookmarkEnd w:id="41"/>
      <w:bookmarkEnd w:id="42"/>
      <w:bookmarkEnd w:id="4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1.6.1投标人在投标过程中的一切费用，均由投标人自负，招标人及代理单位不负任何责任。所递交的所有与投标有关的资料均不予退还。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1.6.2投标人考察现场后，将被认为已了解了招标项目的现场情况，掌握了编制投标文件的有关条件，相关费用自行承担。</w:t>
      </w:r>
    </w:p>
    <w:p>
      <w:pPr>
        <w:spacing w:before="120" w:beforeLines="50" w:after="120" w:afterLines="50"/>
        <w:rPr>
          <w:rFonts w:hint="eastAsia" w:ascii="宋体" w:hAnsi="宋体" w:eastAsia="宋体" w:cs="宋体"/>
          <w:b/>
          <w:color w:val="000000"/>
          <w:sz w:val="24"/>
          <w:szCs w:val="24"/>
        </w:rPr>
      </w:pPr>
      <w:bookmarkStart w:id="44" w:name="_Toc286929435"/>
      <w:bookmarkStart w:id="45" w:name="_Toc144974504"/>
      <w:bookmarkStart w:id="46" w:name="_Toc495964946"/>
      <w:bookmarkStart w:id="47" w:name="_Toc287015562"/>
      <w:bookmarkStart w:id="48" w:name="_Toc179632553"/>
      <w:bookmarkStart w:id="49" w:name="_Toc152045536"/>
      <w:bookmarkStart w:id="50" w:name="_Toc294124164"/>
      <w:bookmarkStart w:id="51" w:name="_Toc152042312"/>
      <w:r>
        <w:rPr>
          <w:rFonts w:hint="eastAsia" w:ascii="宋体" w:hAnsi="宋体" w:eastAsia="宋体" w:cs="宋体"/>
          <w:b/>
          <w:color w:val="000000"/>
          <w:sz w:val="24"/>
        </w:rPr>
        <w:t>1.7 保密</w:t>
      </w:r>
      <w:bookmarkEnd w:id="44"/>
      <w:bookmarkEnd w:id="45"/>
      <w:bookmarkEnd w:id="46"/>
      <w:bookmarkEnd w:id="47"/>
      <w:bookmarkEnd w:id="48"/>
      <w:bookmarkEnd w:id="49"/>
      <w:bookmarkEnd w:id="50"/>
      <w:bookmarkEnd w:id="5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参与招标投标活动的各方应对招标文件和投标文件中的商业和技术等秘密保密，违者应对由此造成的后果承担法律责任。</w:t>
      </w:r>
    </w:p>
    <w:p>
      <w:pPr>
        <w:spacing w:before="120" w:beforeLines="50" w:after="120" w:afterLines="50"/>
        <w:rPr>
          <w:rFonts w:hint="eastAsia" w:ascii="宋体" w:hAnsi="宋体" w:eastAsia="宋体" w:cs="宋体"/>
          <w:b/>
          <w:color w:val="000000"/>
          <w:sz w:val="24"/>
          <w:szCs w:val="24"/>
        </w:rPr>
      </w:pPr>
      <w:bookmarkStart w:id="52" w:name="_Toc144974505"/>
      <w:bookmarkStart w:id="53" w:name="_Toc294124165"/>
      <w:bookmarkStart w:id="54" w:name="_Toc179632554"/>
      <w:bookmarkStart w:id="55" w:name="_Toc286929436"/>
      <w:bookmarkStart w:id="56" w:name="_Toc287015563"/>
      <w:bookmarkStart w:id="57" w:name="_Toc152045537"/>
      <w:bookmarkStart w:id="58" w:name="_Toc495964947"/>
      <w:bookmarkStart w:id="59" w:name="_Toc152042313"/>
      <w:r>
        <w:rPr>
          <w:rFonts w:hint="eastAsia" w:ascii="宋体" w:hAnsi="宋体" w:eastAsia="宋体" w:cs="宋体"/>
          <w:b/>
          <w:color w:val="000000"/>
          <w:sz w:val="24"/>
        </w:rPr>
        <w:t>1.8 语言</w:t>
      </w:r>
      <w:bookmarkEnd w:id="52"/>
      <w:r>
        <w:rPr>
          <w:rFonts w:hint="eastAsia" w:ascii="宋体" w:hAnsi="宋体" w:eastAsia="宋体" w:cs="宋体"/>
          <w:b/>
          <w:color w:val="000000"/>
          <w:sz w:val="24"/>
        </w:rPr>
        <w:t>文字</w:t>
      </w:r>
      <w:bookmarkEnd w:id="53"/>
      <w:bookmarkEnd w:id="54"/>
      <w:bookmarkEnd w:id="55"/>
      <w:bookmarkEnd w:id="56"/>
      <w:bookmarkEnd w:id="57"/>
      <w:bookmarkEnd w:id="58"/>
      <w:bookmarkEnd w:id="5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除专用术语外，与招标投标有关的语言均使用中文。必要时专用术语应附有中文注释。</w:t>
      </w:r>
    </w:p>
    <w:p>
      <w:pPr>
        <w:spacing w:before="120" w:beforeLines="50" w:after="120" w:afterLines="50"/>
        <w:rPr>
          <w:rFonts w:hint="eastAsia" w:ascii="宋体" w:hAnsi="宋体" w:eastAsia="宋体" w:cs="宋体"/>
          <w:b/>
          <w:color w:val="000000"/>
          <w:sz w:val="24"/>
          <w:szCs w:val="24"/>
        </w:rPr>
      </w:pPr>
      <w:bookmarkStart w:id="60" w:name="_Toc144974506"/>
      <w:bookmarkStart w:id="61" w:name="_Toc294124166"/>
      <w:bookmarkStart w:id="62" w:name="_Toc495964948"/>
      <w:bookmarkStart w:id="63" w:name="_Toc286929437"/>
      <w:bookmarkStart w:id="64" w:name="_Toc152042314"/>
      <w:bookmarkStart w:id="65" w:name="_Toc152045538"/>
      <w:bookmarkStart w:id="66" w:name="_Toc179632555"/>
      <w:bookmarkStart w:id="67" w:name="_Toc287015564"/>
      <w:r>
        <w:rPr>
          <w:rFonts w:hint="eastAsia" w:ascii="宋体" w:hAnsi="宋体" w:eastAsia="宋体" w:cs="宋体"/>
          <w:b/>
          <w:color w:val="000000"/>
          <w:sz w:val="24"/>
        </w:rPr>
        <w:t>1.9 计量单位</w:t>
      </w:r>
      <w:bookmarkEnd w:id="60"/>
      <w:bookmarkEnd w:id="61"/>
      <w:bookmarkEnd w:id="62"/>
      <w:bookmarkEnd w:id="63"/>
      <w:bookmarkEnd w:id="64"/>
      <w:bookmarkEnd w:id="65"/>
      <w:bookmarkEnd w:id="66"/>
      <w:bookmarkEnd w:id="6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所有计量均采用中华人民共和国法定计量单位。</w:t>
      </w:r>
    </w:p>
    <w:p>
      <w:pPr>
        <w:spacing w:before="120" w:beforeLines="50" w:after="120" w:afterLines="50"/>
        <w:rPr>
          <w:rFonts w:hint="eastAsia" w:ascii="宋体" w:hAnsi="宋体" w:eastAsia="宋体" w:cs="宋体"/>
          <w:b/>
          <w:color w:val="000000"/>
          <w:sz w:val="24"/>
          <w:szCs w:val="24"/>
        </w:rPr>
      </w:pPr>
      <w:bookmarkStart w:id="68" w:name="_Toc286929438"/>
      <w:bookmarkStart w:id="69" w:name="_Toc152042315"/>
      <w:bookmarkStart w:id="70" w:name="_Toc144974507"/>
      <w:bookmarkStart w:id="71" w:name="_Toc294124167"/>
      <w:bookmarkStart w:id="72" w:name="_Toc287015565"/>
      <w:bookmarkStart w:id="73" w:name="_Toc495964949"/>
      <w:bookmarkStart w:id="74" w:name="_Toc179632556"/>
      <w:bookmarkStart w:id="75" w:name="_Toc152045539"/>
      <w:r>
        <w:rPr>
          <w:rFonts w:hint="eastAsia" w:ascii="宋体" w:hAnsi="宋体" w:eastAsia="宋体" w:cs="宋体"/>
          <w:b/>
          <w:color w:val="000000"/>
          <w:sz w:val="24"/>
        </w:rPr>
        <w:t>1.10踏勘现场</w:t>
      </w:r>
      <w:bookmarkEnd w:id="68"/>
      <w:bookmarkEnd w:id="69"/>
      <w:bookmarkEnd w:id="70"/>
      <w:bookmarkEnd w:id="71"/>
      <w:bookmarkEnd w:id="72"/>
      <w:bookmarkEnd w:id="73"/>
      <w:bookmarkEnd w:id="74"/>
      <w:bookmarkEnd w:id="7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1.10.1 招标人不组织统一踏勘现场，投标人自行对项目现场和周围环境进行考察，以获取编制投标文件所需要的相关资料。</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1.10.2 投标人在踏勘现场期间应注意现场考察人员的人身安全，由此所产生的一切费用自理。在踏勘现场期间严格遵守招标人的管理制度，并承担由投标人原因给现场造成的损失。</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1.10.3 投标人对勘察现场所产生的一切推测和理解，招标人概不负责。</w:t>
      </w:r>
    </w:p>
    <w:p>
      <w:pPr>
        <w:spacing w:before="120" w:beforeLines="50" w:after="120" w:afterLines="50"/>
        <w:rPr>
          <w:rFonts w:hint="eastAsia" w:ascii="宋体" w:hAnsi="宋体" w:eastAsia="宋体" w:cs="宋体"/>
          <w:b/>
          <w:color w:val="000000"/>
          <w:sz w:val="24"/>
          <w:szCs w:val="24"/>
        </w:rPr>
      </w:pPr>
      <w:bookmarkStart w:id="76" w:name="_Toc152045542"/>
      <w:bookmarkStart w:id="77" w:name="_Toc294124171"/>
      <w:bookmarkStart w:id="78" w:name="_Toc144974510"/>
      <w:bookmarkStart w:id="79" w:name="_Toc179632560"/>
      <w:bookmarkStart w:id="80" w:name="_Toc152042318"/>
      <w:bookmarkStart w:id="81" w:name="_Toc495964950"/>
      <w:r>
        <w:rPr>
          <w:rFonts w:hint="eastAsia" w:ascii="宋体" w:hAnsi="宋体" w:eastAsia="宋体" w:cs="宋体"/>
          <w:b/>
          <w:color w:val="000000"/>
          <w:sz w:val="24"/>
        </w:rPr>
        <w:t>2. 招标文件</w:t>
      </w:r>
      <w:bookmarkEnd w:id="76"/>
      <w:bookmarkEnd w:id="77"/>
      <w:bookmarkEnd w:id="78"/>
      <w:bookmarkEnd w:id="79"/>
      <w:bookmarkEnd w:id="80"/>
      <w:bookmarkEnd w:id="81"/>
    </w:p>
    <w:p>
      <w:pPr>
        <w:spacing w:before="120" w:beforeLines="50" w:after="120" w:afterLines="50"/>
        <w:rPr>
          <w:rFonts w:hint="eastAsia" w:ascii="宋体" w:hAnsi="宋体" w:eastAsia="宋体" w:cs="宋体"/>
          <w:b/>
          <w:color w:val="000000"/>
          <w:sz w:val="24"/>
        </w:rPr>
      </w:pPr>
      <w:bookmarkStart w:id="82" w:name="_Toc286929443"/>
      <w:bookmarkStart w:id="83" w:name="_Toc495964951"/>
      <w:bookmarkStart w:id="84" w:name="_Toc287015570"/>
      <w:bookmarkStart w:id="85" w:name="_Toc294124172"/>
      <w:bookmarkStart w:id="86" w:name="_Toc152045543"/>
      <w:bookmarkStart w:id="87" w:name="_Toc144974511"/>
      <w:bookmarkStart w:id="88" w:name="_Toc152042319"/>
      <w:bookmarkStart w:id="89" w:name="_Toc179632561"/>
      <w:r>
        <w:rPr>
          <w:rFonts w:hint="eastAsia" w:ascii="宋体" w:hAnsi="宋体" w:eastAsia="宋体" w:cs="宋体"/>
          <w:b/>
          <w:color w:val="000000"/>
          <w:sz w:val="24"/>
        </w:rPr>
        <w:t>2.1 招标文件的组成</w:t>
      </w:r>
      <w:bookmarkEnd w:id="82"/>
      <w:bookmarkEnd w:id="83"/>
      <w:bookmarkEnd w:id="84"/>
      <w:bookmarkEnd w:id="85"/>
      <w:bookmarkEnd w:id="86"/>
      <w:bookmarkEnd w:id="87"/>
      <w:bookmarkEnd w:id="88"/>
      <w:bookmarkEnd w:id="89"/>
    </w:p>
    <w:p>
      <w:pPr>
        <w:spacing w:before="120" w:beforeLines="50" w:after="120" w:afterLines="50"/>
        <w:rPr>
          <w:rFonts w:hint="eastAsia" w:ascii="宋体" w:hAnsi="宋体" w:eastAsia="宋体" w:cs="宋体"/>
          <w:b/>
          <w:color w:val="000000"/>
          <w:sz w:val="24"/>
        </w:rPr>
      </w:pPr>
      <w:r>
        <w:rPr>
          <w:rFonts w:hint="eastAsia" w:ascii="宋体" w:hAnsi="宋体" w:eastAsia="宋体" w:cs="宋体"/>
          <w:b/>
          <w:color w:val="000000"/>
          <w:sz w:val="24"/>
        </w:rPr>
        <w:t>本招标文件包括：</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第一章  招标公告；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第二章  投标人须知及前附表；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第三章  技术规范及相关要求；</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第四章  合同格式；</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第五章  投标文件格式；</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第六章  评审细则。</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根据本章第2.2款和第2.3款对招标文件所作的澄清、修改，构成招标文件的组成部分。</w:t>
      </w:r>
    </w:p>
    <w:p>
      <w:pPr>
        <w:spacing w:before="120" w:beforeLines="50" w:after="120" w:afterLines="50"/>
        <w:rPr>
          <w:rFonts w:hint="eastAsia" w:ascii="宋体" w:hAnsi="宋体" w:eastAsia="宋体" w:cs="宋体"/>
          <w:b/>
          <w:color w:val="000000"/>
          <w:sz w:val="24"/>
          <w:szCs w:val="24"/>
        </w:rPr>
      </w:pPr>
      <w:bookmarkStart w:id="90" w:name="_Toc179632562"/>
      <w:bookmarkStart w:id="91" w:name="_Toc286929444"/>
      <w:bookmarkStart w:id="92" w:name="_Toc152045544"/>
      <w:bookmarkStart w:id="93" w:name="_Toc287015571"/>
      <w:bookmarkStart w:id="94" w:name="_Toc495964952"/>
      <w:bookmarkStart w:id="95" w:name="_Toc294124173"/>
      <w:bookmarkStart w:id="96" w:name="_Toc144974512"/>
      <w:bookmarkStart w:id="97" w:name="_Toc152042320"/>
      <w:r>
        <w:rPr>
          <w:rFonts w:hint="eastAsia" w:ascii="宋体" w:hAnsi="宋体" w:eastAsia="宋体" w:cs="宋体"/>
          <w:b/>
          <w:color w:val="000000"/>
          <w:sz w:val="24"/>
        </w:rPr>
        <w:t>2.2 招标文件的澄清</w:t>
      </w:r>
      <w:bookmarkEnd w:id="90"/>
      <w:bookmarkEnd w:id="91"/>
      <w:bookmarkEnd w:id="92"/>
      <w:bookmarkEnd w:id="93"/>
      <w:bookmarkEnd w:id="94"/>
      <w:bookmarkEnd w:id="95"/>
      <w:bookmarkEnd w:id="96"/>
      <w:bookmarkEnd w:id="9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2.2.1投标人应仔细阅读和检查招标文件的全部内容。如发现缺页或附件不全，应及时向招标人提出，以便补齐。如有疑问，应在投标人须知前附表规定的时间前以规定的格式提交（加盖单位公章），要求招标人对招标文件予以澄清。</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2.2.3 投标人在收到澄清后，应在投标人须知前附表规定的时间内按照澄清文件的规定以书面形式通知招标人，确认已收到该澄清。</w:t>
      </w:r>
    </w:p>
    <w:p>
      <w:pPr>
        <w:spacing w:before="120" w:beforeLines="50" w:after="120" w:afterLines="50"/>
        <w:rPr>
          <w:rFonts w:hint="eastAsia" w:ascii="宋体" w:hAnsi="宋体" w:eastAsia="宋体" w:cs="宋体"/>
          <w:b/>
          <w:color w:val="000000"/>
          <w:sz w:val="24"/>
          <w:szCs w:val="24"/>
        </w:rPr>
      </w:pPr>
      <w:bookmarkStart w:id="98" w:name="_Toc144974513"/>
      <w:bookmarkStart w:id="99" w:name="_Toc495964953"/>
      <w:bookmarkStart w:id="100" w:name="_Toc179632563"/>
      <w:bookmarkStart w:id="101" w:name="_Toc287015572"/>
      <w:bookmarkStart w:id="102" w:name="_Toc152045545"/>
      <w:bookmarkStart w:id="103" w:name="_Toc294124174"/>
      <w:bookmarkStart w:id="104" w:name="_Toc152042321"/>
      <w:bookmarkStart w:id="105" w:name="_Toc286929445"/>
      <w:r>
        <w:rPr>
          <w:rFonts w:hint="eastAsia" w:ascii="宋体" w:hAnsi="宋体" w:eastAsia="宋体" w:cs="宋体"/>
          <w:b/>
          <w:color w:val="000000"/>
          <w:sz w:val="24"/>
        </w:rPr>
        <w:t>2.3 招标文件的修改</w:t>
      </w:r>
      <w:bookmarkEnd w:id="98"/>
      <w:bookmarkEnd w:id="99"/>
      <w:bookmarkEnd w:id="100"/>
      <w:bookmarkEnd w:id="101"/>
      <w:bookmarkEnd w:id="102"/>
      <w:bookmarkEnd w:id="103"/>
      <w:bookmarkEnd w:id="104"/>
      <w:bookmarkEnd w:id="10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2.3.1采购代理机构对已发出的招标文件进行必要澄清或者修改的，应当在招标文件前附表规定的提交投标文件截止时间十五日前，在指定的媒体上发布更正公告。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2.3.2澄清或者修改内容可能影响投标文件编制的，应当在招标文件前附表规定的提交投标文件截止时间十五日前发布更正公告，不足十五日，应当顺延投标截止时间。</w:t>
      </w:r>
    </w:p>
    <w:p>
      <w:pPr>
        <w:spacing w:before="120" w:beforeLines="50" w:after="120" w:afterLines="50"/>
        <w:rPr>
          <w:rFonts w:hint="eastAsia" w:ascii="宋体" w:hAnsi="宋体" w:eastAsia="宋体" w:cs="宋体"/>
          <w:b/>
          <w:color w:val="000000"/>
          <w:sz w:val="24"/>
          <w:szCs w:val="24"/>
        </w:rPr>
      </w:pPr>
      <w:bookmarkStart w:id="106" w:name="_Toc152042322"/>
      <w:bookmarkStart w:id="107" w:name="_Toc495964954"/>
      <w:bookmarkStart w:id="108" w:name="_Toc294124175"/>
      <w:bookmarkStart w:id="109" w:name="_Toc144974514"/>
      <w:bookmarkStart w:id="110" w:name="_Toc152045546"/>
      <w:bookmarkStart w:id="111" w:name="_Toc179632564"/>
      <w:r>
        <w:rPr>
          <w:rFonts w:hint="eastAsia" w:ascii="宋体" w:hAnsi="宋体" w:eastAsia="宋体" w:cs="宋体"/>
          <w:b/>
          <w:color w:val="000000"/>
          <w:sz w:val="24"/>
        </w:rPr>
        <w:t>3. 投标文件</w:t>
      </w:r>
      <w:bookmarkEnd w:id="106"/>
      <w:bookmarkEnd w:id="107"/>
      <w:bookmarkEnd w:id="108"/>
      <w:bookmarkEnd w:id="109"/>
      <w:bookmarkEnd w:id="110"/>
      <w:bookmarkEnd w:id="111"/>
    </w:p>
    <w:p>
      <w:pPr>
        <w:spacing w:before="120" w:beforeLines="50" w:after="120" w:afterLines="50"/>
        <w:rPr>
          <w:rFonts w:hint="eastAsia" w:ascii="宋体" w:hAnsi="宋体" w:eastAsia="宋体" w:cs="宋体"/>
          <w:b/>
          <w:color w:val="000000"/>
          <w:sz w:val="24"/>
        </w:rPr>
      </w:pPr>
      <w:bookmarkStart w:id="112" w:name="_Toc495964955"/>
      <w:bookmarkStart w:id="113" w:name="_Toc286929447"/>
      <w:bookmarkStart w:id="114" w:name="_Toc152042323"/>
      <w:bookmarkStart w:id="115" w:name="_Toc287015574"/>
      <w:bookmarkStart w:id="116" w:name="_Toc152045547"/>
      <w:bookmarkStart w:id="117" w:name="_Toc294124176"/>
      <w:bookmarkStart w:id="118" w:name="_Toc179632565"/>
      <w:bookmarkStart w:id="119" w:name="_Toc144974515"/>
      <w:r>
        <w:rPr>
          <w:rFonts w:hint="eastAsia" w:ascii="宋体" w:hAnsi="宋体" w:eastAsia="宋体" w:cs="宋体"/>
          <w:b/>
          <w:color w:val="000000"/>
          <w:sz w:val="24"/>
        </w:rPr>
        <w:t>3.1 投标文件的组成</w:t>
      </w:r>
      <w:bookmarkEnd w:id="112"/>
      <w:bookmarkEnd w:id="113"/>
      <w:bookmarkEnd w:id="114"/>
      <w:bookmarkEnd w:id="115"/>
      <w:bookmarkEnd w:id="116"/>
      <w:bookmarkEnd w:id="117"/>
      <w:bookmarkEnd w:id="118"/>
      <w:bookmarkEnd w:id="119"/>
    </w:p>
    <w:p>
      <w:pPr>
        <w:adjustRightInd w:val="0"/>
        <w:snapToGrid w:val="0"/>
        <w:spacing w:line="44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投标文件由商务文件、技术文件两部分组成。各部分的内容如下：</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1）开标一览表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2）投标函</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3）法定代表人授权书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4）清单分项报价表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5）偏离表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6）业绩证明合同复印件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7）无不良行为承诺书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8）投标人守法诚信承诺书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9）中标服务费承诺书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10）投标保证金退还申请书</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11）投标人资质证书以及其他资质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12）技术方案及其他资料</w:t>
      </w:r>
    </w:p>
    <w:p>
      <w:pPr>
        <w:spacing w:before="120" w:beforeLines="50" w:after="120" w:afterLines="50"/>
        <w:rPr>
          <w:rFonts w:hint="eastAsia" w:ascii="宋体" w:hAnsi="宋体" w:eastAsia="宋体" w:cs="宋体"/>
          <w:b/>
          <w:color w:val="000000"/>
          <w:sz w:val="24"/>
          <w:szCs w:val="24"/>
        </w:rPr>
      </w:pPr>
      <w:bookmarkStart w:id="120" w:name="_Toc144974516"/>
      <w:bookmarkStart w:id="121" w:name="_Toc294124177"/>
      <w:bookmarkStart w:id="122" w:name="_Toc152042324"/>
      <w:bookmarkStart w:id="123" w:name="_Toc286929448"/>
      <w:bookmarkStart w:id="124" w:name="_Toc152045548"/>
      <w:bookmarkStart w:id="125" w:name="_Toc495964956"/>
      <w:bookmarkStart w:id="126" w:name="_Toc287015575"/>
      <w:bookmarkStart w:id="127" w:name="_Toc179632566"/>
      <w:r>
        <w:rPr>
          <w:rFonts w:hint="eastAsia" w:ascii="宋体" w:hAnsi="宋体" w:eastAsia="宋体" w:cs="宋体"/>
          <w:b/>
          <w:color w:val="000000"/>
          <w:sz w:val="24"/>
        </w:rPr>
        <w:t>3.2 投标报价</w:t>
      </w:r>
      <w:bookmarkEnd w:id="120"/>
      <w:bookmarkEnd w:id="121"/>
      <w:bookmarkEnd w:id="122"/>
      <w:bookmarkEnd w:id="123"/>
      <w:bookmarkEnd w:id="124"/>
      <w:bookmarkEnd w:id="125"/>
      <w:bookmarkEnd w:id="126"/>
      <w:bookmarkEnd w:id="127"/>
    </w:p>
    <w:p>
      <w:pPr>
        <w:spacing w:line="500" w:lineRule="exact"/>
        <w:ind w:firstLine="420" w:firstLineChars="200"/>
        <w:rPr>
          <w:rFonts w:hint="eastAsia" w:ascii="宋体" w:hAnsi="宋体" w:eastAsia="宋体" w:cs="宋体"/>
          <w:color w:val="000000"/>
          <w:szCs w:val="21"/>
        </w:rPr>
      </w:pPr>
      <w:bookmarkStart w:id="128" w:name="_Toc144974517"/>
      <w:bookmarkStart w:id="129" w:name="_Toc179632567"/>
      <w:bookmarkStart w:id="130" w:name="_Toc152045549"/>
      <w:bookmarkStart w:id="131" w:name="_Toc286929449"/>
      <w:bookmarkStart w:id="132" w:name="_Toc152042325"/>
      <w:bookmarkStart w:id="133" w:name="_Toc294124178"/>
      <w:bookmarkStart w:id="134" w:name="_Toc287015576"/>
      <w:r>
        <w:rPr>
          <w:rFonts w:hint="eastAsia" w:ascii="宋体" w:hAnsi="宋体" w:eastAsia="宋体" w:cs="宋体"/>
          <w:color w:val="000000"/>
          <w:szCs w:val="21"/>
        </w:rPr>
        <w:t>3.2.1</w:t>
      </w:r>
      <w:r>
        <w:rPr>
          <w:rFonts w:hint="eastAsia" w:ascii="宋体" w:hAnsi="宋体" w:eastAsia="宋体" w:cs="宋体"/>
          <w:b/>
          <w:color w:val="000000"/>
          <w:szCs w:val="21"/>
        </w:rPr>
        <w:t>报价</w:t>
      </w:r>
      <w:r>
        <w:rPr>
          <w:rFonts w:hint="eastAsia" w:ascii="宋体" w:hAnsi="宋体" w:eastAsia="宋体" w:cs="宋体"/>
          <w:color w:val="000000"/>
          <w:szCs w:val="21"/>
        </w:rPr>
        <w:t>：本次报价为</w:t>
      </w:r>
      <w:r>
        <w:rPr>
          <w:rFonts w:hint="eastAsia" w:ascii="宋体" w:hAnsi="宋体" w:eastAsia="宋体" w:cs="宋体"/>
          <w:b/>
          <w:color w:val="000000"/>
          <w:szCs w:val="21"/>
        </w:rPr>
        <w:t>一次性公开报价</w:t>
      </w:r>
      <w:r>
        <w:rPr>
          <w:rFonts w:hint="eastAsia" w:ascii="宋体" w:hAnsi="宋体" w:eastAsia="宋体" w:cs="宋体"/>
          <w:color w:val="000000"/>
          <w:szCs w:val="21"/>
        </w:rPr>
        <w:t>，报价币种为人民币。</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3.2.2招标人不接受可选择的投标方案和报价。任何有选择的或可调整的投标方案和报价将被视为非响应性投标而被拒绝。</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3.2.3 投标总价在合同执行过程中是固定不变的，投标人不得以任何理由予以变更。</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3.2.4投标人免费提供的项目，应先填写该项目的实际价格，并注明免费。此项不计入总报价。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3.2.5货币：报价中的单价和合价全部采用人民币表示。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3.2.6招标代理费：在领取中标通知书之前，中标人须依照国家相关取费标准向代理单位交纳招标代理费。</w:t>
      </w:r>
    </w:p>
    <w:p>
      <w:pPr>
        <w:spacing w:before="120" w:beforeLines="50" w:after="120" w:afterLines="50"/>
        <w:rPr>
          <w:rFonts w:hint="eastAsia" w:ascii="宋体" w:hAnsi="宋体" w:eastAsia="宋体" w:cs="宋体"/>
          <w:b/>
          <w:color w:val="000000"/>
          <w:sz w:val="24"/>
          <w:szCs w:val="24"/>
        </w:rPr>
      </w:pPr>
      <w:bookmarkStart w:id="135" w:name="_Toc495964957"/>
      <w:r>
        <w:rPr>
          <w:rFonts w:hint="eastAsia" w:ascii="宋体" w:hAnsi="宋体" w:eastAsia="宋体" w:cs="宋体"/>
          <w:b/>
          <w:color w:val="000000"/>
          <w:sz w:val="24"/>
        </w:rPr>
        <w:t>3.3 投标有效期</w:t>
      </w:r>
      <w:bookmarkEnd w:id="128"/>
      <w:bookmarkEnd w:id="129"/>
      <w:bookmarkEnd w:id="130"/>
      <w:bookmarkEnd w:id="131"/>
      <w:bookmarkEnd w:id="132"/>
      <w:bookmarkEnd w:id="133"/>
      <w:bookmarkEnd w:id="134"/>
      <w:bookmarkEnd w:id="13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3.3.1 在投标人须知前附表规定的投标有效期内，投标人不得要求撤销或修改其投标文件。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before="120" w:beforeLines="50" w:after="120" w:afterLines="50"/>
        <w:rPr>
          <w:rFonts w:hint="eastAsia" w:ascii="宋体" w:hAnsi="宋体" w:eastAsia="宋体" w:cs="宋体"/>
          <w:b/>
          <w:color w:val="000000"/>
          <w:sz w:val="24"/>
          <w:szCs w:val="24"/>
        </w:rPr>
      </w:pPr>
      <w:bookmarkStart w:id="136" w:name="_Toc152045550"/>
      <w:bookmarkStart w:id="137" w:name="_Toc152042326"/>
      <w:bookmarkStart w:id="138" w:name="_Toc144974518"/>
      <w:bookmarkStart w:id="139" w:name="_Toc179632568"/>
      <w:bookmarkStart w:id="140" w:name="_Toc286929450"/>
      <w:bookmarkStart w:id="141" w:name="_Toc495964958"/>
      <w:bookmarkStart w:id="142" w:name="_Toc294124179"/>
      <w:bookmarkStart w:id="143" w:name="_Toc287015577"/>
      <w:r>
        <w:rPr>
          <w:rFonts w:hint="eastAsia" w:ascii="宋体" w:hAnsi="宋体" w:eastAsia="宋体" w:cs="宋体"/>
          <w:b/>
          <w:color w:val="000000"/>
          <w:sz w:val="24"/>
        </w:rPr>
        <w:t>3.4 投标保证金</w:t>
      </w:r>
      <w:bookmarkEnd w:id="136"/>
      <w:bookmarkEnd w:id="137"/>
      <w:bookmarkEnd w:id="138"/>
      <w:bookmarkEnd w:id="139"/>
      <w:bookmarkEnd w:id="140"/>
      <w:bookmarkEnd w:id="141"/>
      <w:bookmarkEnd w:id="142"/>
      <w:bookmarkEnd w:id="14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3.4.1 投标人应按投标人须知前附表规定递交投标保证金，并作为其投标文件的组成部分。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3.4.2 投标人不按本章第3.4.1项要求提交投标保证金的，其投标文件作无效投标处理。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3.4.3招标人向中标人发出中标通知书后5日内，向未中标的投标人退还投标保证金；</w:t>
      </w:r>
    </w:p>
    <w:p>
      <w:pPr>
        <w:spacing w:line="500" w:lineRule="exact"/>
        <w:ind w:firstLine="630" w:firstLineChars="300"/>
        <w:rPr>
          <w:rFonts w:hint="eastAsia" w:ascii="宋体" w:hAnsi="宋体" w:eastAsia="宋体" w:cs="宋体"/>
          <w:color w:val="000000"/>
          <w:szCs w:val="21"/>
          <w:shd w:val="pct10" w:color="auto" w:fill="FFFFFF"/>
        </w:rPr>
      </w:pPr>
      <w:r>
        <w:rPr>
          <w:rFonts w:hint="eastAsia" w:ascii="宋体" w:hAnsi="宋体" w:eastAsia="宋体" w:cs="宋体"/>
          <w:color w:val="000000"/>
          <w:szCs w:val="21"/>
        </w:rPr>
        <w:t>招标人与中标人签订合同后5日内，向中标人退还投标保证金。</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3.4.4 有下列情形之一的，投标保证金将不予退还：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（1）投标人在规定的投标有效期内撤销或修改其投标文件。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（2）中标人在收到中标通知书后，无正当理由拒签合同协议书或未按招标文件规定提交履约担保。</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（3）经查实发现有围标、串标情况的。</w:t>
      </w:r>
    </w:p>
    <w:p>
      <w:pPr>
        <w:spacing w:before="120" w:beforeLines="50" w:after="120" w:afterLines="50"/>
        <w:rPr>
          <w:rFonts w:hint="eastAsia" w:ascii="宋体" w:hAnsi="宋体" w:eastAsia="宋体" w:cs="宋体"/>
          <w:b/>
          <w:color w:val="000000"/>
          <w:sz w:val="24"/>
          <w:szCs w:val="24"/>
        </w:rPr>
      </w:pPr>
      <w:bookmarkStart w:id="144" w:name="_Toc495964959"/>
      <w:bookmarkStart w:id="145" w:name="_Toc179632570"/>
      <w:bookmarkStart w:id="146" w:name="_Toc286929452"/>
      <w:bookmarkStart w:id="147" w:name="_Toc144974520"/>
      <w:bookmarkStart w:id="148" w:name="_Toc152045552"/>
      <w:bookmarkStart w:id="149" w:name="_Toc152042328"/>
      <w:bookmarkStart w:id="150" w:name="_Toc294124181"/>
      <w:bookmarkStart w:id="151" w:name="_Toc287015579"/>
      <w:r>
        <w:rPr>
          <w:rFonts w:hint="eastAsia" w:ascii="宋体" w:hAnsi="宋体" w:eastAsia="宋体" w:cs="宋体"/>
          <w:b/>
          <w:color w:val="000000"/>
          <w:sz w:val="24"/>
        </w:rPr>
        <w:t>3.5 资格审查资料</w:t>
      </w:r>
      <w:bookmarkEnd w:id="144"/>
      <w:bookmarkEnd w:id="145"/>
      <w:bookmarkEnd w:id="146"/>
      <w:bookmarkEnd w:id="147"/>
      <w:bookmarkEnd w:id="148"/>
      <w:bookmarkEnd w:id="149"/>
      <w:bookmarkEnd w:id="150"/>
      <w:bookmarkEnd w:id="15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3.5.1投标人应提交满足第一章第二款规定的资格条件要求的证明文件,该证明文件作为投标文件的一部分。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3.5.2如果投标人为联合体，则应提交联合体各方资格证明文件、联合体协议。否则，在评标时将其视为无效投标。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3.5.3除招标文件前附表另有规定外，投标人提供的货物及服务不是投标人制造或拥有的,则应当提供经销、或代理投标货物、或为投标货物提供售后服务的证明文件。否则，在评标时将其视为无效投标。</w:t>
      </w:r>
    </w:p>
    <w:p>
      <w:pPr>
        <w:spacing w:before="120" w:beforeLines="50" w:after="120" w:afterLines="50"/>
        <w:rPr>
          <w:rFonts w:hint="eastAsia" w:ascii="宋体" w:hAnsi="宋体" w:eastAsia="宋体" w:cs="宋体"/>
          <w:b/>
          <w:color w:val="000000"/>
          <w:sz w:val="24"/>
          <w:szCs w:val="24"/>
        </w:rPr>
      </w:pPr>
      <w:bookmarkStart w:id="152" w:name="_Toc152045554"/>
      <w:bookmarkStart w:id="153" w:name="_Toc144974522"/>
      <w:bookmarkStart w:id="154" w:name="_Toc495964960"/>
      <w:bookmarkStart w:id="155" w:name="_Toc294124183"/>
      <w:bookmarkStart w:id="156" w:name="_Toc179632572"/>
      <w:bookmarkStart w:id="157" w:name="_Toc287015581"/>
      <w:bookmarkStart w:id="158" w:name="_Toc286929454"/>
      <w:bookmarkStart w:id="159" w:name="_Toc152042330"/>
      <w:r>
        <w:rPr>
          <w:rFonts w:hint="eastAsia" w:ascii="宋体" w:hAnsi="宋体" w:eastAsia="宋体" w:cs="宋体"/>
          <w:b/>
          <w:color w:val="000000"/>
          <w:sz w:val="24"/>
        </w:rPr>
        <w:t>3.6 投标文件的编制</w:t>
      </w:r>
      <w:bookmarkEnd w:id="152"/>
      <w:bookmarkEnd w:id="153"/>
      <w:bookmarkEnd w:id="154"/>
      <w:bookmarkEnd w:id="155"/>
      <w:bookmarkEnd w:id="156"/>
      <w:bookmarkEnd w:id="157"/>
      <w:bookmarkEnd w:id="158"/>
      <w:bookmarkEnd w:id="159"/>
    </w:p>
    <w:p>
      <w:pPr>
        <w:adjustRightInd w:val="0"/>
        <w:snapToGrid w:val="0"/>
        <w:spacing w:before="120"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22.1投标文件资格证明文件正本一份，副本贰份；商务技术文件正本一份，副本贰份（建议投标单位自备壹份投标文件，以便评标时澄清问题）；投标文件封面上明确写明“正本”或“副本”，副本可采用正本复印件，正本和副本内容如不一致，以正本为准。装订要求：1、投标文件采用胶装方式装订，装订应牢固、不易拆散和换页，不得采用活页装订，提倡双面打印。2、开标一览表须另单独密封一份,并在小密封袋上标明开标一览表字样，与投标文件一同递交。商务技术文件正副本一起密封。副本份数见</w:t>
      </w:r>
      <w:r>
        <w:rPr>
          <w:rFonts w:hint="eastAsia" w:ascii="宋体" w:hAnsi="宋体" w:eastAsia="宋体" w:cs="宋体"/>
          <w:b/>
          <w:szCs w:val="21"/>
        </w:rPr>
        <w:t>招标文件前附表。</w:t>
      </w:r>
      <w:r>
        <w:rPr>
          <w:rFonts w:hint="eastAsia" w:ascii="宋体" w:hAnsi="宋体" w:eastAsia="宋体" w:cs="宋体"/>
          <w:szCs w:val="21"/>
        </w:rPr>
        <w:t>正本和副本的封面应注明“正本”或“副本”的字样，当正本和副本不一致时，以正本为准。</w:t>
      </w:r>
    </w:p>
    <w:p>
      <w:pPr>
        <w:tabs>
          <w:tab w:val="left" w:pos="570"/>
          <w:tab w:val="left" w:pos="8280"/>
        </w:tabs>
        <w:adjustRightInd w:val="0"/>
        <w:snapToGrid w:val="0"/>
        <w:spacing w:before="120" w:beforeLines="50" w:line="360" w:lineRule="auto"/>
        <w:ind w:right="31" w:rightChars="15" w:firstLine="420" w:firstLineChars="200"/>
        <w:jc w:val="left"/>
        <w:rPr>
          <w:rFonts w:hint="eastAsia" w:ascii="宋体" w:hAnsi="宋体" w:eastAsia="宋体" w:cs="宋体"/>
          <w:szCs w:val="24"/>
        </w:rPr>
      </w:pPr>
      <w:r>
        <w:rPr>
          <w:rFonts w:hint="eastAsia" w:ascii="宋体" w:hAnsi="宋体" w:eastAsia="宋体" w:cs="宋体"/>
          <w:szCs w:val="21"/>
        </w:rPr>
        <w:t>22.2 投标文件应用不褪色的材料打印或书写，并在</w:t>
      </w:r>
      <w:r>
        <w:rPr>
          <w:rFonts w:hint="eastAsia" w:ascii="宋体" w:hAnsi="宋体" w:eastAsia="宋体" w:cs="宋体"/>
          <w:bCs/>
          <w:szCs w:val="21"/>
        </w:rPr>
        <w:t>招标</w:t>
      </w:r>
      <w:r>
        <w:rPr>
          <w:rFonts w:hint="eastAsia" w:ascii="宋体" w:hAnsi="宋体" w:eastAsia="宋体" w:cs="宋体"/>
          <w:szCs w:val="21"/>
        </w:rPr>
        <w:t>文件要求签字、盖章处盖投标单位行政公章和由法定代表人或其委托代理人签字。投标文件中的任何行间插字、涂改和增删，改动之处应加盖单位行政公章或由投标人的法定代表人或其授权的代理人签字确认。不按上述要求盖章和签字的，在评标时将其视为无效投标。</w:t>
      </w:r>
    </w:p>
    <w:p>
      <w:pPr>
        <w:spacing w:before="120" w:beforeLines="50" w:after="120" w:afterLines="50"/>
        <w:rPr>
          <w:rFonts w:hint="eastAsia" w:ascii="宋体" w:hAnsi="宋体" w:eastAsia="宋体" w:cs="宋体"/>
          <w:b/>
          <w:color w:val="000000"/>
          <w:sz w:val="24"/>
        </w:rPr>
      </w:pPr>
      <w:bookmarkStart w:id="160" w:name="_Toc294124184"/>
      <w:bookmarkStart w:id="161" w:name="_Toc179632573"/>
      <w:bookmarkStart w:id="162" w:name="_Toc495964961"/>
      <w:bookmarkStart w:id="163" w:name="_Toc144974523"/>
      <w:bookmarkStart w:id="164" w:name="_Toc152042331"/>
      <w:bookmarkStart w:id="165" w:name="_Toc152045555"/>
      <w:r>
        <w:rPr>
          <w:rFonts w:hint="eastAsia" w:ascii="宋体" w:hAnsi="宋体" w:eastAsia="宋体" w:cs="宋体"/>
          <w:b/>
          <w:color w:val="000000"/>
          <w:sz w:val="24"/>
        </w:rPr>
        <w:t>4. 投标</w:t>
      </w:r>
      <w:bookmarkEnd w:id="160"/>
      <w:bookmarkEnd w:id="161"/>
      <w:bookmarkEnd w:id="162"/>
      <w:bookmarkEnd w:id="163"/>
      <w:bookmarkEnd w:id="164"/>
      <w:bookmarkEnd w:id="165"/>
    </w:p>
    <w:p>
      <w:pPr>
        <w:spacing w:before="120" w:beforeLines="50" w:after="120" w:afterLines="50"/>
        <w:rPr>
          <w:rFonts w:hint="eastAsia" w:ascii="宋体" w:hAnsi="宋体" w:eastAsia="宋体" w:cs="宋体"/>
          <w:b/>
          <w:color w:val="000000"/>
          <w:sz w:val="24"/>
        </w:rPr>
      </w:pPr>
      <w:bookmarkStart w:id="166" w:name="_Toc152042332"/>
      <w:bookmarkStart w:id="167" w:name="_Toc287015583"/>
      <w:bookmarkStart w:id="168" w:name="_Toc294124185"/>
      <w:bookmarkStart w:id="169" w:name="_Toc495964962"/>
      <w:bookmarkStart w:id="170" w:name="_Toc152045556"/>
      <w:bookmarkStart w:id="171" w:name="_Toc286929456"/>
      <w:bookmarkStart w:id="172" w:name="_Toc144974524"/>
      <w:bookmarkStart w:id="173" w:name="_Toc179632574"/>
      <w:r>
        <w:rPr>
          <w:rFonts w:hint="eastAsia" w:ascii="宋体" w:hAnsi="宋体" w:eastAsia="宋体" w:cs="宋体"/>
          <w:b/>
          <w:color w:val="000000"/>
          <w:sz w:val="24"/>
        </w:rPr>
        <w:t>4.1 投标文件的密封和标记</w:t>
      </w:r>
      <w:bookmarkEnd w:id="166"/>
      <w:bookmarkEnd w:id="167"/>
      <w:bookmarkEnd w:id="168"/>
      <w:bookmarkEnd w:id="169"/>
      <w:bookmarkEnd w:id="170"/>
      <w:bookmarkEnd w:id="171"/>
      <w:bookmarkEnd w:id="172"/>
      <w:bookmarkEnd w:id="173"/>
    </w:p>
    <w:p>
      <w:pPr>
        <w:adjustRightInd w:val="0"/>
        <w:snapToGrid w:val="0"/>
        <w:spacing w:line="360" w:lineRule="auto"/>
        <w:ind w:firstLine="420" w:firstLineChars="200"/>
        <w:jc w:val="left"/>
        <w:rPr>
          <w:rFonts w:hint="eastAsia" w:ascii="宋体" w:hAnsi="宋体" w:eastAsia="宋体" w:cs="宋体"/>
          <w:color w:val="000000"/>
          <w:szCs w:val="21"/>
        </w:rPr>
      </w:pPr>
      <w:bookmarkStart w:id="174" w:name="_Toc179632575"/>
      <w:bookmarkStart w:id="175" w:name="_Toc152045557"/>
      <w:bookmarkStart w:id="176" w:name="_Toc152042333"/>
      <w:bookmarkStart w:id="177" w:name="_Toc144974525"/>
      <w:bookmarkStart w:id="178" w:name="_Toc286929457"/>
      <w:bookmarkStart w:id="179" w:name="_Toc294124186"/>
      <w:bookmarkStart w:id="180" w:name="_Toc495964963"/>
      <w:bookmarkStart w:id="181" w:name="_Toc287015584"/>
      <w:r>
        <w:rPr>
          <w:rFonts w:hint="eastAsia" w:ascii="宋体" w:hAnsi="宋体" w:eastAsia="宋体" w:cs="宋体"/>
          <w:color w:val="000000"/>
          <w:szCs w:val="21"/>
        </w:rPr>
        <w:t>4.1.1.投标文件按正本和副本分别包装，注明“正本”或“副本”，加贴封条，并在封套的封口处加盖投标人单位章或由法定代表人或其授权的代理人签字。</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4.1.2.投标文件封套或外包装上应载明的内容见招标文件前附表。</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4.1.3.投标文件如果未按上述规定密封和标记，采购代理机构应当拒绝接收。</w:t>
      </w:r>
    </w:p>
    <w:p>
      <w:pPr>
        <w:adjustRightInd w:val="0"/>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4.1.4.为方便开标唱标,投标人另外在准备一份开标一览表单独密封, 密封袋上标明开标一览表字样，随同正副本一并递交，未递交的以正本内开标一览表或分项价格表为准，二者均未提供的，按照无效投标处理。</w:t>
      </w:r>
    </w:p>
    <w:p>
      <w:pPr>
        <w:spacing w:before="120" w:beforeLines="50" w:after="120" w:afterLines="50"/>
        <w:rPr>
          <w:rFonts w:hint="eastAsia" w:ascii="宋体" w:hAnsi="宋体" w:eastAsia="宋体" w:cs="宋体"/>
          <w:b/>
          <w:color w:val="000000"/>
          <w:sz w:val="24"/>
          <w:szCs w:val="24"/>
        </w:rPr>
      </w:pPr>
      <w:r>
        <w:rPr>
          <w:rFonts w:hint="eastAsia" w:ascii="宋体" w:hAnsi="宋体" w:eastAsia="宋体" w:cs="宋体"/>
          <w:b/>
          <w:color w:val="000000"/>
          <w:sz w:val="24"/>
        </w:rPr>
        <w:t>4.2 投标文件的递交</w:t>
      </w:r>
      <w:bookmarkEnd w:id="174"/>
      <w:bookmarkEnd w:id="175"/>
      <w:bookmarkEnd w:id="176"/>
      <w:bookmarkEnd w:id="177"/>
      <w:bookmarkEnd w:id="178"/>
      <w:bookmarkEnd w:id="179"/>
      <w:bookmarkEnd w:id="180"/>
      <w:bookmarkEnd w:id="18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4.2.1 投标人应在前附表规定的投标截止时间前递交投标文件。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4.2.2 投标人递交投标文件的地点：见投标人须知前附表。</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4.2.3 除投标人须知前附表另有规定外，投标人所递交的投标文件不予退还。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4.2.4 逾期送达的或者未送达指定地点的投标文件，招标人不予受理。</w:t>
      </w:r>
    </w:p>
    <w:p>
      <w:pPr>
        <w:spacing w:before="120" w:beforeLines="50" w:after="120" w:afterLines="50"/>
        <w:rPr>
          <w:rFonts w:hint="eastAsia" w:ascii="宋体" w:hAnsi="宋体" w:eastAsia="宋体" w:cs="宋体"/>
          <w:b/>
          <w:color w:val="000000"/>
          <w:sz w:val="24"/>
          <w:szCs w:val="24"/>
        </w:rPr>
      </w:pPr>
      <w:bookmarkStart w:id="182" w:name="_Toc144974526"/>
      <w:bookmarkStart w:id="183" w:name="_Toc152045558"/>
      <w:bookmarkStart w:id="184" w:name="_Toc287015585"/>
      <w:bookmarkStart w:id="185" w:name="_Toc179632576"/>
      <w:bookmarkStart w:id="186" w:name="_Toc286929458"/>
      <w:bookmarkStart w:id="187" w:name="_Toc152042334"/>
      <w:bookmarkStart w:id="188" w:name="_Toc294124187"/>
      <w:bookmarkStart w:id="189" w:name="_Toc495964964"/>
      <w:r>
        <w:rPr>
          <w:rFonts w:hint="eastAsia" w:ascii="宋体" w:hAnsi="宋体" w:eastAsia="宋体" w:cs="宋体"/>
          <w:b/>
          <w:color w:val="000000"/>
          <w:sz w:val="24"/>
        </w:rPr>
        <w:t>4.3 投标文件的修改与撤回</w:t>
      </w:r>
      <w:bookmarkEnd w:id="182"/>
      <w:bookmarkEnd w:id="183"/>
      <w:bookmarkEnd w:id="184"/>
      <w:bookmarkEnd w:id="185"/>
      <w:bookmarkEnd w:id="186"/>
      <w:bookmarkEnd w:id="187"/>
      <w:bookmarkEnd w:id="188"/>
      <w:bookmarkEnd w:id="189"/>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4.3.1 在前附表规定的投标截止时间前，投标人可以修改或撤回已递交的投标文件，但应以书面形式通知招标人。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4.3.2 投标人修改或撤回已递交投标文件的书面通知应按照本章第3.6.3项的要求签字或盖章。招标人收到书面通知后，向投标人出具签收凭证。</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4.3.3 修改的内容为投标文件的组成部分。修改的投标文件应按照本章第3条、第4条规定进行编制、密封、标记和递交，并标明“修改”字样。</w:t>
      </w:r>
    </w:p>
    <w:p>
      <w:pPr>
        <w:spacing w:before="120" w:beforeLines="50" w:after="120" w:afterLines="50"/>
        <w:rPr>
          <w:rFonts w:hint="eastAsia" w:ascii="宋体" w:hAnsi="宋体" w:eastAsia="宋体" w:cs="宋体"/>
          <w:b/>
          <w:color w:val="000000"/>
          <w:sz w:val="24"/>
          <w:szCs w:val="24"/>
        </w:rPr>
      </w:pPr>
      <w:bookmarkStart w:id="190" w:name="_Toc179632577"/>
      <w:bookmarkStart w:id="191" w:name="_Toc144974527"/>
      <w:bookmarkStart w:id="192" w:name="_Toc152042335"/>
      <w:bookmarkStart w:id="193" w:name="_Toc495964965"/>
      <w:bookmarkStart w:id="194" w:name="_Toc294124188"/>
      <w:bookmarkStart w:id="195" w:name="_Toc152045559"/>
      <w:r>
        <w:rPr>
          <w:rFonts w:hint="eastAsia" w:ascii="宋体" w:hAnsi="宋体" w:eastAsia="宋体" w:cs="宋体"/>
          <w:b/>
          <w:color w:val="000000"/>
          <w:sz w:val="24"/>
        </w:rPr>
        <w:t>5. 开标</w:t>
      </w:r>
      <w:bookmarkEnd w:id="190"/>
      <w:bookmarkEnd w:id="191"/>
      <w:bookmarkEnd w:id="192"/>
      <w:bookmarkEnd w:id="193"/>
      <w:bookmarkEnd w:id="194"/>
      <w:bookmarkEnd w:id="195"/>
    </w:p>
    <w:p>
      <w:pPr>
        <w:spacing w:before="120" w:beforeLines="50" w:after="120" w:afterLines="50"/>
        <w:rPr>
          <w:rFonts w:hint="eastAsia" w:ascii="宋体" w:hAnsi="宋体" w:eastAsia="宋体" w:cs="宋体"/>
          <w:b/>
          <w:color w:val="000000"/>
          <w:sz w:val="24"/>
        </w:rPr>
      </w:pPr>
      <w:bookmarkStart w:id="196" w:name="_Toc144974528"/>
      <w:bookmarkStart w:id="197" w:name="_Toc294124189"/>
      <w:bookmarkStart w:id="198" w:name="_Toc152045560"/>
      <w:bookmarkStart w:id="199" w:name="_Toc152042336"/>
      <w:bookmarkStart w:id="200" w:name="_Toc287015587"/>
      <w:bookmarkStart w:id="201" w:name="_Toc179632578"/>
      <w:bookmarkStart w:id="202" w:name="_Toc495964966"/>
      <w:bookmarkStart w:id="203" w:name="_Toc286929460"/>
      <w:r>
        <w:rPr>
          <w:rFonts w:hint="eastAsia" w:ascii="宋体" w:hAnsi="宋体" w:eastAsia="宋体" w:cs="宋体"/>
          <w:b/>
          <w:color w:val="000000"/>
          <w:sz w:val="24"/>
        </w:rPr>
        <w:t>5.1 开标时间和地点</w:t>
      </w:r>
      <w:bookmarkEnd w:id="196"/>
      <w:bookmarkEnd w:id="197"/>
      <w:bookmarkEnd w:id="198"/>
      <w:bookmarkEnd w:id="199"/>
      <w:bookmarkEnd w:id="200"/>
      <w:bookmarkEnd w:id="201"/>
      <w:bookmarkEnd w:id="202"/>
      <w:bookmarkEnd w:id="20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招标人在前附表规定的投标截止时间（开标时间）和投标人须知前附表规定的地点公开开标。</w:t>
      </w:r>
    </w:p>
    <w:p>
      <w:pPr>
        <w:spacing w:before="120" w:beforeLines="50" w:after="120" w:afterLines="50"/>
        <w:rPr>
          <w:rFonts w:hint="eastAsia" w:ascii="宋体" w:hAnsi="宋体" w:eastAsia="宋体" w:cs="宋体"/>
          <w:b/>
          <w:color w:val="000000"/>
          <w:sz w:val="24"/>
          <w:szCs w:val="24"/>
        </w:rPr>
      </w:pPr>
      <w:bookmarkStart w:id="204" w:name="_Toc495964967"/>
      <w:bookmarkStart w:id="205" w:name="_Toc144974529"/>
      <w:bookmarkStart w:id="206" w:name="_Toc286929461"/>
      <w:bookmarkStart w:id="207" w:name="_Toc294124190"/>
      <w:bookmarkStart w:id="208" w:name="_Toc287015588"/>
      <w:bookmarkStart w:id="209" w:name="_Toc152045561"/>
      <w:bookmarkStart w:id="210" w:name="_Toc152042337"/>
      <w:bookmarkStart w:id="211" w:name="_Toc179632579"/>
      <w:r>
        <w:rPr>
          <w:rFonts w:hint="eastAsia" w:ascii="宋体" w:hAnsi="宋体" w:eastAsia="宋体" w:cs="宋体"/>
          <w:b/>
          <w:color w:val="000000"/>
          <w:sz w:val="24"/>
        </w:rPr>
        <w:t>5.2 开标程序</w:t>
      </w:r>
      <w:bookmarkEnd w:id="204"/>
      <w:bookmarkEnd w:id="205"/>
      <w:bookmarkEnd w:id="206"/>
      <w:bookmarkEnd w:id="207"/>
      <w:bookmarkEnd w:id="208"/>
      <w:bookmarkEnd w:id="209"/>
      <w:bookmarkEnd w:id="210"/>
      <w:bookmarkEnd w:id="21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按公开开标流程进行开标：</w:t>
      </w:r>
    </w:p>
    <w:p>
      <w:pPr>
        <w:spacing w:line="500" w:lineRule="exact"/>
        <w:ind w:firstLine="420" w:firstLineChars="200"/>
        <w:rPr>
          <w:rFonts w:hint="eastAsia" w:ascii="宋体" w:hAnsi="宋体" w:eastAsia="宋体" w:cs="宋体"/>
          <w:color w:val="000000"/>
          <w:spacing w:val="-2"/>
          <w:szCs w:val="21"/>
        </w:rPr>
      </w:pPr>
      <w:bookmarkStart w:id="212" w:name="_Toc294124191"/>
      <w:bookmarkStart w:id="213" w:name="_Toc152042338"/>
      <w:bookmarkStart w:id="214" w:name="_Toc144974530"/>
      <w:bookmarkStart w:id="215" w:name="_Toc152045562"/>
      <w:bookmarkStart w:id="216" w:name="_Toc179632580"/>
      <w:r>
        <w:rPr>
          <w:rFonts w:hint="eastAsia" w:ascii="宋体" w:hAnsi="宋体" w:eastAsia="宋体" w:cs="宋体"/>
          <w:color w:val="000000"/>
        </w:rPr>
        <w:t>投标人于投标截止时间前递交投标文件、开标一览表及样品完成签到等流程，招标人唱标。</w:t>
      </w:r>
    </w:p>
    <w:p>
      <w:pPr>
        <w:spacing w:before="120" w:beforeLines="50" w:after="120" w:afterLines="50"/>
        <w:rPr>
          <w:rFonts w:hint="eastAsia" w:ascii="宋体" w:hAnsi="宋体" w:eastAsia="宋体" w:cs="宋体"/>
          <w:b/>
          <w:color w:val="000000"/>
          <w:sz w:val="24"/>
          <w:szCs w:val="24"/>
        </w:rPr>
      </w:pPr>
      <w:bookmarkStart w:id="217" w:name="_Toc495964968"/>
      <w:r>
        <w:rPr>
          <w:rFonts w:hint="eastAsia" w:ascii="宋体" w:hAnsi="宋体" w:eastAsia="宋体" w:cs="宋体"/>
          <w:b/>
          <w:color w:val="000000"/>
          <w:sz w:val="24"/>
        </w:rPr>
        <w:t>6. 评标</w:t>
      </w:r>
      <w:bookmarkEnd w:id="212"/>
      <w:bookmarkEnd w:id="213"/>
      <w:bookmarkEnd w:id="214"/>
      <w:bookmarkEnd w:id="215"/>
      <w:bookmarkEnd w:id="216"/>
      <w:bookmarkEnd w:id="217"/>
    </w:p>
    <w:p>
      <w:pPr>
        <w:spacing w:before="120" w:beforeLines="50" w:after="120" w:afterLines="50"/>
        <w:rPr>
          <w:rFonts w:hint="eastAsia" w:ascii="宋体" w:hAnsi="宋体" w:eastAsia="宋体" w:cs="宋体"/>
          <w:b/>
          <w:color w:val="000000"/>
          <w:sz w:val="24"/>
        </w:rPr>
      </w:pPr>
      <w:bookmarkStart w:id="218" w:name="_Toc286929463"/>
      <w:bookmarkStart w:id="219" w:name="_Toc144974531"/>
      <w:bookmarkStart w:id="220" w:name="_Toc152042339"/>
      <w:bookmarkStart w:id="221" w:name="_Toc152045563"/>
      <w:bookmarkStart w:id="222" w:name="_Toc287015590"/>
      <w:bookmarkStart w:id="223" w:name="_Toc495964969"/>
      <w:bookmarkStart w:id="224" w:name="_Toc179632581"/>
      <w:bookmarkStart w:id="225" w:name="_Toc294124192"/>
      <w:r>
        <w:rPr>
          <w:rFonts w:hint="eastAsia" w:ascii="宋体" w:hAnsi="宋体" w:eastAsia="宋体" w:cs="宋体"/>
          <w:b/>
          <w:color w:val="000000"/>
          <w:sz w:val="24"/>
        </w:rPr>
        <w:t>6.1 评标委员会</w:t>
      </w:r>
      <w:bookmarkEnd w:id="218"/>
      <w:bookmarkEnd w:id="219"/>
      <w:bookmarkEnd w:id="220"/>
      <w:bookmarkEnd w:id="221"/>
      <w:bookmarkEnd w:id="222"/>
      <w:bookmarkEnd w:id="223"/>
      <w:bookmarkEnd w:id="224"/>
      <w:bookmarkEnd w:id="22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6.1.1 评标由依法组建的评标委员会负责。评标委员会由招标人熟悉相关业务的代表，以及有关技术、经济等方面的专家组成。</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6.1.2 评标委员会成员有下列情形之一的，应当回避：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（1）招标人或投标人的主要负责人的近亲属；</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（2）项目主管部门或者行政监督部门的人员；</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（3）与投标人有经济利益关系，可能影响对投标公正评审的；</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（4）曾因在招标、评标以及其他与招标投标有关活动中从事违法行为而受过行政处罚或刑事处罚的。</w:t>
      </w:r>
    </w:p>
    <w:p>
      <w:pPr>
        <w:spacing w:before="120" w:beforeLines="50" w:after="120" w:afterLines="50"/>
        <w:rPr>
          <w:rFonts w:hint="eastAsia" w:ascii="宋体" w:hAnsi="宋体" w:eastAsia="宋体" w:cs="宋体"/>
          <w:b/>
          <w:color w:val="000000"/>
          <w:sz w:val="24"/>
          <w:szCs w:val="24"/>
        </w:rPr>
      </w:pPr>
      <w:bookmarkStart w:id="226" w:name="_Toc286929464"/>
      <w:bookmarkStart w:id="227" w:name="_Toc144974532"/>
      <w:bookmarkStart w:id="228" w:name="_Toc495964970"/>
      <w:bookmarkStart w:id="229" w:name="_Toc152045564"/>
      <w:bookmarkStart w:id="230" w:name="_Toc179632582"/>
      <w:bookmarkStart w:id="231" w:name="_Toc287015591"/>
      <w:bookmarkStart w:id="232" w:name="_Toc152042340"/>
      <w:bookmarkStart w:id="233" w:name="_Toc294124193"/>
      <w:r>
        <w:rPr>
          <w:rFonts w:hint="eastAsia" w:ascii="宋体" w:hAnsi="宋体" w:eastAsia="宋体" w:cs="宋体"/>
          <w:b/>
          <w:color w:val="000000"/>
          <w:sz w:val="24"/>
        </w:rPr>
        <w:t>6.2 评标原则</w:t>
      </w:r>
      <w:bookmarkEnd w:id="226"/>
      <w:bookmarkEnd w:id="227"/>
      <w:bookmarkEnd w:id="228"/>
      <w:bookmarkEnd w:id="229"/>
      <w:bookmarkEnd w:id="230"/>
      <w:bookmarkEnd w:id="231"/>
      <w:bookmarkEnd w:id="232"/>
      <w:bookmarkEnd w:id="233"/>
      <w:r>
        <w:rPr>
          <w:rFonts w:hint="eastAsia" w:ascii="宋体" w:hAnsi="宋体" w:eastAsia="宋体" w:cs="宋体"/>
          <w:b/>
          <w:color w:val="000000"/>
          <w:sz w:val="24"/>
        </w:rPr>
        <w:tab/>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评标活动遵循公平、公正、科学和择优的原则。</w:t>
      </w:r>
    </w:p>
    <w:p>
      <w:pPr>
        <w:spacing w:before="120" w:beforeLines="50" w:after="120" w:afterLines="50"/>
        <w:rPr>
          <w:rFonts w:hint="eastAsia" w:ascii="宋体" w:hAnsi="宋体" w:eastAsia="宋体" w:cs="宋体"/>
          <w:b/>
          <w:color w:val="000000"/>
          <w:sz w:val="24"/>
          <w:szCs w:val="24"/>
        </w:rPr>
      </w:pPr>
      <w:bookmarkStart w:id="234" w:name="_Toc152042341"/>
      <w:bookmarkStart w:id="235" w:name="_Toc495964971"/>
      <w:bookmarkStart w:id="236" w:name="_Toc179632583"/>
      <w:bookmarkStart w:id="237" w:name="_Toc294124194"/>
      <w:bookmarkStart w:id="238" w:name="_Toc144974533"/>
      <w:bookmarkStart w:id="239" w:name="_Toc287015592"/>
      <w:bookmarkStart w:id="240" w:name="_Toc152045565"/>
      <w:bookmarkStart w:id="241" w:name="_Toc286929465"/>
      <w:r>
        <w:rPr>
          <w:rFonts w:hint="eastAsia" w:ascii="宋体" w:hAnsi="宋体" w:eastAsia="宋体" w:cs="宋体"/>
          <w:b/>
          <w:color w:val="000000"/>
          <w:sz w:val="24"/>
        </w:rPr>
        <w:t>6.3 评标</w:t>
      </w:r>
      <w:bookmarkEnd w:id="234"/>
      <w:bookmarkEnd w:id="235"/>
      <w:bookmarkEnd w:id="236"/>
      <w:bookmarkEnd w:id="237"/>
      <w:bookmarkEnd w:id="238"/>
      <w:bookmarkEnd w:id="239"/>
      <w:bookmarkEnd w:id="240"/>
      <w:bookmarkEnd w:id="241"/>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6.3.1评标内容的保密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(1)开标会议开始后，凡属于审查、澄清、评价和比较报价的所有资料及有关授予合同的信息，都不应向投标人或与招标无关的其他人泄露。</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(2)在投标文件的审查、澄清、评价和比较以及授予合同的过程中，投标人对招标人和评标委员会施加影响的任何行为，都将导致取消投标资格。</w:t>
      </w:r>
    </w:p>
    <w:p>
      <w:pPr>
        <w:spacing w:line="500" w:lineRule="exact"/>
        <w:rPr>
          <w:rFonts w:hint="eastAsia" w:ascii="宋体" w:hAnsi="宋体" w:eastAsia="宋体" w:cs="宋体"/>
          <w:b/>
          <w:color w:val="000000"/>
          <w:szCs w:val="21"/>
        </w:rPr>
      </w:pPr>
      <w:r>
        <w:rPr>
          <w:rFonts w:hint="eastAsia" w:ascii="宋体" w:hAnsi="宋体" w:eastAsia="宋体" w:cs="宋体"/>
          <w:b/>
          <w:color w:val="000000"/>
          <w:szCs w:val="21"/>
        </w:rPr>
        <w:t>6.3.2评审的标准和方法如下：</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初审：符合性评审</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符合性评审详见第六章“评审细则”</w:t>
      </w:r>
    </w:p>
    <w:p>
      <w:pPr>
        <w:spacing w:line="540" w:lineRule="exact"/>
        <w:ind w:left="479" w:leftChars="228" w:firstLine="52" w:firstLineChars="25"/>
        <w:rPr>
          <w:rFonts w:hint="eastAsia" w:ascii="宋体" w:hAnsi="宋体" w:eastAsia="宋体" w:cs="宋体"/>
          <w:color w:val="000000"/>
          <w:szCs w:val="21"/>
        </w:rPr>
      </w:pPr>
      <w:r>
        <w:rPr>
          <w:rFonts w:hint="eastAsia" w:ascii="宋体" w:hAnsi="宋体" w:eastAsia="宋体" w:cs="宋体"/>
          <w:color w:val="000000"/>
          <w:szCs w:val="21"/>
        </w:rPr>
        <w:t>详细评审：</w:t>
      </w:r>
    </w:p>
    <w:p>
      <w:pPr>
        <w:spacing w:line="54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按照详见第六章“评审细则”，由评标委员会对通过符合性鉴定评审的投标人的投标书进行评审，并对每家的投标人的进行打分，同一投标人所有的得分的算术平均值为该投标人的得分（四舍五入，保留两位小数），按最终得分从高到低的顺序排定名次，并推荐中标候选人。</w:t>
      </w:r>
    </w:p>
    <w:p>
      <w:pPr>
        <w:spacing w:line="500" w:lineRule="exact"/>
        <w:ind w:firstLine="411" w:firstLineChars="196"/>
        <w:rPr>
          <w:rFonts w:hint="eastAsia" w:ascii="宋体" w:hAnsi="宋体" w:eastAsia="宋体" w:cs="宋体"/>
          <w:color w:val="000000"/>
          <w:szCs w:val="21"/>
        </w:rPr>
      </w:pPr>
      <w:r>
        <w:rPr>
          <w:rFonts w:hint="eastAsia" w:ascii="宋体" w:hAnsi="宋体" w:eastAsia="宋体" w:cs="宋体"/>
          <w:color w:val="000000"/>
          <w:szCs w:val="21"/>
        </w:rPr>
        <w:t>评标委员会可以要求投标单位对投标文件中含义不明确的内容作必要的澄清或说明，但澄清或说明不得超出投标文件的范围或者改变投标文件的实质性内容。</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6.4投标文件的澄清</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为了有助于投标文件的审查、评价和比较，评标委员会可以要求投标人澄清其投标文件。</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6.5投标文件的符合性鉴定</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6.5.1开标会议开始后，经招标人初步审查符合投标须知规定的投标文件提交评标委员会进行评审。</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时，评标委员会将首先评定每份投标文件是否在实质上响应了招标文件的要求，所谓实质上响应是指投标文件应与招标文件的所有实质性条款、条件和规定相符，无显著差异或保留，或者对合同中约定的招标人的权力和投标人的义务方面造成重大的限制，纠正这些显著差异或保留将会对其他实质上响应招标文件要求的投标文件的投标人的竞争地位产生不公正的影响。</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6.5.2如果投标文件实质上不响应招标文件各项要求，评标委员会将予以拒绝，并且不允许投标人通过修改或撤消其不符合要求的差异或保留使之成为具有响应性的报价。</w:t>
      </w:r>
    </w:p>
    <w:p>
      <w:pPr>
        <w:spacing w:line="500" w:lineRule="exact"/>
        <w:rPr>
          <w:rFonts w:hint="eastAsia" w:ascii="宋体" w:hAnsi="宋体" w:eastAsia="宋体" w:cs="宋体"/>
          <w:b/>
          <w:bCs/>
          <w:color w:val="000000"/>
          <w:szCs w:val="21"/>
        </w:rPr>
      </w:pPr>
      <w:r>
        <w:rPr>
          <w:rFonts w:hint="eastAsia" w:ascii="宋体" w:hAnsi="宋体" w:eastAsia="宋体" w:cs="宋体"/>
          <w:b/>
          <w:bCs/>
          <w:color w:val="000000"/>
          <w:szCs w:val="21"/>
        </w:rPr>
        <w:t>6.6错误的修正</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6.6.1评标委员会将对确定为实质上响应招标文件要求的投标文件进行校核，看其是否有计算上、累计上或表达上的错误，修正错误的原则如下：</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（1）、如果数字表示的金额和用文字表示的金额不一致时，应以文字表示的金额为准；</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（2）、当单价与数量的乘积与合价不一致时，单价为准，除非评标委员会认为单价有明显的小数点错误，此时应以标出的合价为准，并修改单价；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（3）、按上述修正错误的原则及方法调整或修正投标文件的报价，投标人同意后，调整后的报价对投标人起约束作用。如果投标人不接受修正后的报价，则其报价将被拒绝并且其投标保证金也将被没收。</w:t>
      </w:r>
    </w:p>
    <w:p>
      <w:pPr>
        <w:spacing w:before="120" w:beforeLines="50" w:after="120" w:afterLines="50"/>
        <w:rPr>
          <w:rFonts w:hint="eastAsia" w:ascii="宋体" w:hAnsi="宋体" w:eastAsia="宋体" w:cs="宋体"/>
          <w:b/>
          <w:color w:val="000000"/>
          <w:sz w:val="24"/>
          <w:szCs w:val="24"/>
        </w:rPr>
      </w:pPr>
      <w:bookmarkStart w:id="242" w:name="_Toc152042342"/>
      <w:bookmarkStart w:id="243" w:name="_Toc495964972"/>
      <w:bookmarkStart w:id="244" w:name="_Toc179632584"/>
      <w:bookmarkStart w:id="245" w:name="_Toc294124195"/>
      <w:bookmarkStart w:id="246" w:name="_Toc144974534"/>
      <w:bookmarkStart w:id="247" w:name="_Toc152045566"/>
      <w:r>
        <w:rPr>
          <w:rFonts w:hint="eastAsia" w:ascii="宋体" w:hAnsi="宋体" w:eastAsia="宋体" w:cs="宋体"/>
          <w:b/>
          <w:color w:val="000000"/>
          <w:sz w:val="24"/>
        </w:rPr>
        <w:t>7. 合同授予</w:t>
      </w:r>
      <w:bookmarkEnd w:id="242"/>
      <w:bookmarkEnd w:id="243"/>
      <w:bookmarkEnd w:id="244"/>
      <w:bookmarkEnd w:id="245"/>
      <w:bookmarkEnd w:id="246"/>
      <w:bookmarkEnd w:id="247"/>
    </w:p>
    <w:p>
      <w:pPr>
        <w:spacing w:before="120" w:beforeLines="50" w:after="120" w:afterLines="50"/>
        <w:rPr>
          <w:rFonts w:hint="eastAsia" w:ascii="宋体" w:hAnsi="宋体" w:eastAsia="宋体" w:cs="宋体"/>
          <w:b/>
          <w:color w:val="000000"/>
          <w:sz w:val="24"/>
        </w:rPr>
      </w:pPr>
      <w:bookmarkStart w:id="248" w:name="_Toc294124196"/>
      <w:bookmarkStart w:id="249" w:name="_Toc286929467"/>
      <w:bookmarkStart w:id="250" w:name="_Toc144974535"/>
      <w:bookmarkStart w:id="251" w:name="_Toc495964973"/>
      <w:bookmarkStart w:id="252" w:name="_Toc152042343"/>
      <w:bookmarkStart w:id="253" w:name="_Toc287015594"/>
      <w:bookmarkStart w:id="254" w:name="_Toc179632585"/>
      <w:bookmarkStart w:id="255" w:name="_Toc152045567"/>
      <w:r>
        <w:rPr>
          <w:rFonts w:hint="eastAsia" w:ascii="宋体" w:hAnsi="宋体" w:eastAsia="宋体" w:cs="宋体"/>
          <w:b/>
          <w:color w:val="000000"/>
          <w:sz w:val="24"/>
        </w:rPr>
        <w:t>7.1 定标方式</w:t>
      </w:r>
      <w:bookmarkEnd w:id="248"/>
      <w:bookmarkEnd w:id="249"/>
      <w:bookmarkEnd w:id="250"/>
      <w:bookmarkEnd w:id="251"/>
      <w:bookmarkEnd w:id="252"/>
      <w:bookmarkEnd w:id="253"/>
      <w:bookmarkEnd w:id="254"/>
      <w:bookmarkEnd w:id="25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评审委员会依据规定的评审标准和方法，对投标文件进行评审和比较，向招标人提出书面评审报告，推荐中标候选人或直接确定中标人。</w:t>
      </w:r>
    </w:p>
    <w:p>
      <w:pPr>
        <w:spacing w:before="120" w:beforeLines="50" w:after="120" w:afterLines="50"/>
        <w:rPr>
          <w:rFonts w:hint="eastAsia" w:ascii="宋体" w:hAnsi="宋体" w:eastAsia="宋体" w:cs="宋体"/>
          <w:b/>
          <w:color w:val="000000"/>
          <w:sz w:val="24"/>
          <w:szCs w:val="24"/>
        </w:rPr>
      </w:pPr>
      <w:bookmarkStart w:id="256" w:name="_Toc179632586"/>
      <w:bookmarkStart w:id="257" w:name="_Toc495964974"/>
      <w:bookmarkStart w:id="258" w:name="_Toc286929468"/>
      <w:bookmarkStart w:id="259" w:name="_Toc294124197"/>
      <w:bookmarkStart w:id="260" w:name="_Toc144974536"/>
      <w:bookmarkStart w:id="261" w:name="_Toc152045568"/>
      <w:bookmarkStart w:id="262" w:name="_Toc152042344"/>
      <w:bookmarkStart w:id="263" w:name="_Toc287015595"/>
      <w:r>
        <w:rPr>
          <w:rFonts w:hint="eastAsia" w:ascii="宋体" w:hAnsi="宋体" w:eastAsia="宋体" w:cs="宋体"/>
          <w:b/>
          <w:color w:val="000000"/>
          <w:sz w:val="24"/>
        </w:rPr>
        <w:t>7.2 中标通知</w:t>
      </w:r>
      <w:bookmarkEnd w:id="256"/>
      <w:bookmarkEnd w:id="257"/>
      <w:bookmarkEnd w:id="258"/>
      <w:bookmarkEnd w:id="259"/>
      <w:bookmarkEnd w:id="260"/>
      <w:bookmarkEnd w:id="261"/>
      <w:bookmarkEnd w:id="262"/>
      <w:bookmarkEnd w:id="26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在本章第3.3款规定的投标有效期内，招标人以书面形式向中标人发出中标通知书，同时将中标结果通知未中标的投标人。</w:t>
      </w:r>
    </w:p>
    <w:p>
      <w:pPr>
        <w:spacing w:before="120" w:beforeLines="50" w:after="120" w:afterLines="50"/>
        <w:rPr>
          <w:rFonts w:hint="eastAsia" w:ascii="宋体" w:hAnsi="宋体" w:eastAsia="宋体" w:cs="宋体"/>
          <w:b/>
          <w:color w:val="000000"/>
          <w:sz w:val="24"/>
          <w:szCs w:val="24"/>
        </w:rPr>
      </w:pPr>
      <w:bookmarkStart w:id="264" w:name="_Toc179632588"/>
      <w:bookmarkStart w:id="265" w:name="_Toc287015597"/>
      <w:bookmarkStart w:id="266" w:name="_Toc152045570"/>
      <w:bookmarkStart w:id="267" w:name="_Toc286929470"/>
      <w:bookmarkStart w:id="268" w:name="_Toc144974538"/>
      <w:bookmarkStart w:id="269" w:name="_Toc294124199"/>
      <w:bookmarkStart w:id="270" w:name="_Toc495964975"/>
      <w:bookmarkStart w:id="271" w:name="_Toc152042346"/>
      <w:r>
        <w:rPr>
          <w:rFonts w:hint="eastAsia" w:ascii="宋体" w:hAnsi="宋体" w:eastAsia="宋体" w:cs="宋体"/>
          <w:b/>
          <w:color w:val="000000"/>
          <w:sz w:val="24"/>
        </w:rPr>
        <w:t>7.3 签订合同</w:t>
      </w:r>
      <w:bookmarkEnd w:id="264"/>
      <w:bookmarkEnd w:id="265"/>
      <w:bookmarkEnd w:id="266"/>
      <w:bookmarkEnd w:id="267"/>
      <w:bookmarkEnd w:id="268"/>
      <w:bookmarkEnd w:id="269"/>
      <w:bookmarkEnd w:id="270"/>
      <w:bookmarkEnd w:id="271"/>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7.3.1招标人和中标人应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7.3.2 发出中标通知书后，招标人无正当理由拒签合同的，招标人向中标人退还投标保证金；给中标人造成损失的，还应当赔偿损失。</w:t>
      </w:r>
    </w:p>
    <w:p>
      <w:pPr>
        <w:spacing w:before="120" w:beforeLines="50" w:after="120" w:afterLines="50"/>
        <w:rPr>
          <w:rFonts w:hint="eastAsia" w:ascii="宋体" w:hAnsi="宋体" w:eastAsia="宋体" w:cs="宋体"/>
          <w:b/>
          <w:color w:val="000000"/>
          <w:sz w:val="24"/>
          <w:szCs w:val="24"/>
        </w:rPr>
      </w:pPr>
      <w:bookmarkStart w:id="272" w:name="_Toc152045571"/>
      <w:bookmarkStart w:id="273" w:name="_Toc179632589"/>
      <w:bookmarkStart w:id="274" w:name="_Toc152042347"/>
      <w:bookmarkStart w:id="275" w:name="_Toc495964976"/>
      <w:bookmarkStart w:id="276" w:name="_Toc294124200"/>
      <w:bookmarkStart w:id="277" w:name="_Toc144974539"/>
      <w:r>
        <w:rPr>
          <w:rFonts w:hint="eastAsia" w:ascii="宋体" w:hAnsi="宋体" w:eastAsia="宋体" w:cs="宋体"/>
          <w:b/>
          <w:color w:val="000000"/>
          <w:sz w:val="24"/>
        </w:rPr>
        <w:t>8. 重新招标和不再招标</w:t>
      </w:r>
      <w:bookmarkEnd w:id="272"/>
      <w:bookmarkEnd w:id="273"/>
      <w:bookmarkEnd w:id="274"/>
      <w:bookmarkEnd w:id="275"/>
      <w:bookmarkEnd w:id="276"/>
      <w:bookmarkEnd w:id="277"/>
    </w:p>
    <w:p>
      <w:pPr>
        <w:spacing w:before="120" w:beforeLines="50" w:after="120" w:afterLines="50"/>
        <w:rPr>
          <w:rFonts w:hint="eastAsia" w:ascii="宋体" w:hAnsi="宋体" w:eastAsia="宋体" w:cs="宋体"/>
          <w:b/>
          <w:color w:val="000000"/>
          <w:sz w:val="24"/>
        </w:rPr>
      </w:pPr>
      <w:bookmarkStart w:id="278" w:name="_Toc495964977"/>
      <w:bookmarkStart w:id="279" w:name="_Toc152042348"/>
      <w:bookmarkStart w:id="280" w:name="_Toc179632590"/>
      <w:bookmarkStart w:id="281" w:name="_Toc294124201"/>
      <w:bookmarkStart w:id="282" w:name="_Toc152045572"/>
      <w:bookmarkStart w:id="283" w:name="_Toc287015599"/>
      <w:bookmarkStart w:id="284" w:name="_Toc144974540"/>
      <w:bookmarkStart w:id="285" w:name="_Toc286929472"/>
      <w:r>
        <w:rPr>
          <w:rFonts w:hint="eastAsia" w:ascii="宋体" w:hAnsi="宋体" w:eastAsia="宋体" w:cs="宋体"/>
          <w:b/>
          <w:color w:val="000000"/>
          <w:sz w:val="24"/>
        </w:rPr>
        <w:t>8.1 重新招标</w:t>
      </w:r>
      <w:bookmarkEnd w:id="278"/>
      <w:bookmarkEnd w:id="279"/>
      <w:bookmarkEnd w:id="280"/>
      <w:bookmarkEnd w:id="281"/>
      <w:bookmarkEnd w:id="282"/>
      <w:bookmarkEnd w:id="283"/>
      <w:bookmarkEnd w:id="284"/>
      <w:bookmarkEnd w:id="28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有下列情形之一的，招标人将重新招标：</w:t>
      </w:r>
    </w:p>
    <w:p>
      <w:pPr>
        <w:spacing w:line="500" w:lineRule="exact"/>
        <w:ind w:firstLine="359" w:firstLineChars="171"/>
        <w:rPr>
          <w:rFonts w:hint="eastAsia" w:ascii="宋体" w:hAnsi="宋体" w:eastAsia="宋体" w:cs="宋体"/>
          <w:color w:val="000000"/>
          <w:szCs w:val="21"/>
        </w:rPr>
      </w:pPr>
      <w:r>
        <w:rPr>
          <w:rFonts w:hint="eastAsia" w:ascii="宋体" w:hAnsi="宋体" w:eastAsia="宋体" w:cs="宋体"/>
          <w:color w:val="000000"/>
          <w:szCs w:val="21"/>
        </w:rPr>
        <w:t>（1）投标截止时间止，投标人少于3个的；</w:t>
      </w:r>
    </w:p>
    <w:p>
      <w:pPr>
        <w:spacing w:line="500" w:lineRule="exact"/>
        <w:ind w:firstLine="359" w:firstLineChars="171"/>
        <w:rPr>
          <w:rFonts w:hint="eastAsia" w:ascii="宋体" w:hAnsi="宋体" w:eastAsia="宋体" w:cs="宋体"/>
          <w:color w:val="000000"/>
          <w:szCs w:val="21"/>
        </w:rPr>
      </w:pPr>
      <w:r>
        <w:rPr>
          <w:rFonts w:hint="eastAsia" w:ascii="宋体" w:hAnsi="宋体" w:eastAsia="宋体" w:cs="宋体"/>
          <w:color w:val="000000"/>
          <w:szCs w:val="21"/>
        </w:rPr>
        <w:t>（2）经评标委员会评审后否决所有投标的。</w:t>
      </w:r>
    </w:p>
    <w:p>
      <w:pPr>
        <w:spacing w:before="120" w:beforeLines="50" w:after="120" w:afterLines="50"/>
        <w:rPr>
          <w:rFonts w:hint="eastAsia" w:ascii="宋体" w:hAnsi="宋体" w:eastAsia="宋体" w:cs="宋体"/>
          <w:b/>
          <w:color w:val="000000"/>
          <w:sz w:val="24"/>
          <w:szCs w:val="24"/>
        </w:rPr>
      </w:pPr>
      <w:bookmarkStart w:id="286" w:name="_Toc287015600"/>
      <w:bookmarkStart w:id="287" w:name="_Toc179632591"/>
      <w:bookmarkStart w:id="288" w:name="_Toc294124202"/>
      <w:bookmarkStart w:id="289" w:name="_Toc152042349"/>
      <w:bookmarkStart w:id="290" w:name="_Toc286929473"/>
      <w:bookmarkStart w:id="291" w:name="_Toc495964978"/>
      <w:bookmarkStart w:id="292" w:name="_Toc144974541"/>
      <w:bookmarkStart w:id="293" w:name="_Toc152045573"/>
      <w:r>
        <w:rPr>
          <w:rFonts w:hint="eastAsia" w:ascii="宋体" w:hAnsi="宋体" w:eastAsia="宋体" w:cs="宋体"/>
          <w:b/>
          <w:color w:val="000000"/>
          <w:sz w:val="24"/>
        </w:rPr>
        <w:t>8.2 不再招标</w:t>
      </w:r>
      <w:bookmarkEnd w:id="286"/>
      <w:bookmarkEnd w:id="287"/>
      <w:bookmarkEnd w:id="288"/>
      <w:bookmarkEnd w:id="289"/>
      <w:bookmarkEnd w:id="290"/>
      <w:bookmarkEnd w:id="291"/>
      <w:bookmarkEnd w:id="292"/>
      <w:bookmarkEnd w:id="29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重新招标后投标人仍少于3个或者所有投标被否决的，根据</w:t>
      </w:r>
      <w:r>
        <w:rPr>
          <w:rFonts w:hint="eastAsia" w:ascii="宋体" w:hAnsi="宋体" w:eastAsia="宋体" w:cs="宋体"/>
          <w:color w:val="000000"/>
          <w:szCs w:val="21"/>
          <w:lang w:val="en-US" w:eastAsia="zh-CN"/>
        </w:rPr>
        <w:t>政府采购</w:t>
      </w:r>
      <w:r>
        <w:rPr>
          <w:rFonts w:hint="eastAsia" w:ascii="宋体" w:hAnsi="宋体" w:eastAsia="宋体" w:cs="宋体"/>
          <w:color w:val="000000"/>
          <w:szCs w:val="21"/>
        </w:rPr>
        <w:t>采购管理规定不再进行招标，采用其他采购方式。</w:t>
      </w:r>
    </w:p>
    <w:p>
      <w:pPr>
        <w:spacing w:before="120" w:beforeLines="50" w:after="120" w:afterLines="50"/>
        <w:rPr>
          <w:rFonts w:hint="eastAsia" w:ascii="宋体" w:hAnsi="宋体" w:eastAsia="宋体" w:cs="宋体"/>
          <w:b/>
          <w:color w:val="000000"/>
          <w:sz w:val="24"/>
          <w:szCs w:val="24"/>
        </w:rPr>
      </w:pPr>
      <w:bookmarkStart w:id="294" w:name="_Toc144974542"/>
      <w:bookmarkStart w:id="295" w:name="_Toc152042350"/>
      <w:bookmarkStart w:id="296" w:name="_Toc495964979"/>
      <w:bookmarkStart w:id="297" w:name="_Toc152045574"/>
      <w:bookmarkStart w:id="298" w:name="_Toc294124203"/>
      <w:bookmarkStart w:id="299" w:name="_Toc179632592"/>
      <w:r>
        <w:rPr>
          <w:rFonts w:hint="eastAsia" w:ascii="宋体" w:hAnsi="宋体" w:eastAsia="宋体" w:cs="宋体"/>
          <w:b/>
          <w:color w:val="000000"/>
          <w:sz w:val="24"/>
        </w:rPr>
        <w:t>9. 纪律和监督</w:t>
      </w:r>
      <w:bookmarkEnd w:id="294"/>
      <w:bookmarkEnd w:id="295"/>
      <w:bookmarkEnd w:id="296"/>
      <w:bookmarkEnd w:id="297"/>
      <w:bookmarkEnd w:id="298"/>
      <w:bookmarkEnd w:id="299"/>
    </w:p>
    <w:p>
      <w:pPr>
        <w:spacing w:before="120" w:beforeLines="50" w:after="120" w:afterLines="50"/>
        <w:rPr>
          <w:rFonts w:hint="eastAsia" w:ascii="宋体" w:hAnsi="宋体" w:eastAsia="宋体" w:cs="宋体"/>
          <w:b/>
          <w:color w:val="000000"/>
          <w:sz w:val="24"/>
        </w:rPr>
      </w:pPr>
      <w:bookmarkStart w:id="300" w:name="_Toc152042351"/>
      <w:bookmarkStart w:id="301" w:name="_Toc179632593"/>
      <w:bookmarkStart w:id="302" w:name="_Toc144974543"/>
      <w:bookmarkStart w:id="303" w:name="_Toc495964980"/>
      <w:bookmarkStart w:id="304" w:name="_Toc152045575"/>
      <w:bookmarkStart w:id="305" w:name="_Toc286929475"/>
      <w:bookmarkStart w:id="306" w:name="_Toc287015602"/>
      <w:bookmarkStart w:id="307" w:name="_Toc294124204"/>
      <w:r>
        <w:rPr>
          <w:rFonts w:hint="eastAsia" w:ascii="宋体" w:hAnsi="宋体" w:eastAsia="宋体" w:cs="宋体"/>
          <w:b/>
          <w:color w:val="000000"/>
          <w:sz w:val="24"/>
        </w:rPr>
        <w:t>9.1 对招标人的纪律要求</w:t>
      </w:r>
      <w:bookmarkEnd w:id="300"/>
      <w:bookmarkEnd w:id="301"/>
      <w:bookmarkEnd w:id="302"/>
      <w:bookmarkEnd w:id="303"/>
      <w:bookmarkEnd w:id="304"/>
      <w:bookmarkEnd w:id="305"/>
      <w:bookmarkEnd w:id="306"/>
      <w:bookmarkEnd w:id="307"/>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招标人不得泄漏招标投标活动中应当保密的情况和资料，不得与投标人串通损害国家利益、社会公共利益或者他人合法权益。</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以下情形属于招标人与投标人串通投标：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（1）招标人在开标前开启投标文件并将有关信息泄露给其他投标人；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（2）招标人直接或者间接向投标人泄露评标委员会成员等信息；</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（3）招标人明示或者暗示投标人压低或者抬高投标报价；</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（4）招标人授意投标人撤换、修改投标文件；</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（5）招标人明示或者暗示投标人为特定投标人中标提供方便；</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（6）招标人与投标人为谋求特定投标人中标而采取的其他串通行为。</w:t>
      </w:r>
    </w:p>
    <w:p>
      <w:pPr>
        <w:spacing w:before="120" w:beforeLines="50" w:after="120" w:afterLines="50"/>
        <w:rPr>
          <w:rFonts w:hint="eastAsia" w:ascii="宋体" w:hAnsi="宋体" w:eastAsia="宋体" w:cs="宋体"/>
          <w:b/>
          <w:color w:val="000000"/>
          <w:sz w:val="24"/>
          <w:szCs w:val="24"/>
        </w:rPr>
      </w:pPr>
      <w:bookmarkStart w:id="308" w:name="_Toc152042352"/>
      <w:bookmarkStart w:id="309" w:name="_Toc287015603"/>
      <w:bookmarkStart w:id="310" w:name="_Toc286929476"/>
      <w:bookmarkStart w:id="311" w:name="_Toc294124205"/>
      <w:bookmarkStart w:id="312" w:name="_Toc152045576"/>
      <w:bookmarkStart w:id="313" w:name="_Toc144974544"/>
      <w:bookmarkStart w:id="314" w:name="_Toc179632594"/>
      <w:bookmarkStart w:id="315" w:name="_Toc495964981"/>
      <w:r>
        <w:rPr>
          <w:rFonts w:hint="eastAsia" w:ascii="宋体" w:hAnsi="宋体" w:eastAsia="宋体" w:cs="宋体"/>
          <w:b/>
          <w:color w:val="000000"/>
          <w:sz w:val="24"/>
        </w:rPr>
        <w:t>9.2 对投标人的纪律要求</w:t>
      </w:r>
      <w:bookmarkEnd w:id="308"/>
      <w:bookmarkEnd w:id="309"/>
      <w:bookmarkEnd w:id="310"/>
      <w:bookmarkEnd w:id="311"/>
      <w:bookmarkEnd w:id="312"/>
      <w:bookmarkEnd w:id="313"/>
      <w:bookmarkEnd w:id="314"/>
      <w:bookmarkEnd w:id="315"/>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以下情形属于投标人相互串通投标：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（1）投标人之间协商投标报价等投标文件的实质性内容；</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（2）投标人之间约定中标人；</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（3）投标人之间约定部分投标人放弃投标或者中标；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（4）属于同一集团、协会、商会等组织成员的投标人按照该组织要求协同投标；</w:t>
      </w:r>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（5）投标人之间为谋取中标或者排斥特定投标人而采取的其他联合行动。</w:t>
      </w:r>
    </w:p>
    <w:p>
      <w:pPr>
        <w:spacing w:line="500" w:lineRule="exact"/>
        <w:ind w:firstLine="420" w:firstLineChars="200"/>
        <w:rPr>
          <w:rFonts w:hint="eastAsia" w:ascii="宋体" w:hAnsi="宋体" w:eastAsia="宋体" w:cs="宋体"/>
          <w:b/>
          <w:color w:val="000000"/>
          <w:szCs w:val="21"/>
        </w:rPr>
      </w:pPr>
      <w:r>
        <w:rPr>
          <w:rFonts w:hint="eastAsia" w:ascii="宋体" w:hAnsi="宋体" w:eastAsia="宋体" w:cs="宋体"/>
          <w:color w:val="000000"/>
          <w:szCs w:val="21"/>
        </w:rPr>
        <w:t>投标人认为招标投标活动不符合法律、行政法规规定的，可以在《中华人民共和国招标投标法》等有关法律、法规规定时间内向招标代理机构投诉。投诉应当有明确的请求和必要的证明材料。</w:t>
      </w:r>
      <w:r>
        <w:rPr>
          <w:rFonts w:hint="eastAsia" w:ascii="宋体" w:hAnsi="宋体" w:eastAsia="宋体" w:cs="宋体"/>
          <w:b/>
          <w:color w:val="000000"/>
          <w:szCs w:val="21"/>
        </w:rPr>
        <w:t>投诉人以非法手段取得证明材料进行投诉的，行政监督部门应当予以驳回；投诉人捏造事实、伪造材料进行投诉的，其投标保证金不予退还，给他人造成损失的，依法承担赔偿责任。</w:t>
      </w:r>
    </w:p>
    <w:p>
      <w:pPr>
        <w:spacing w:before="120" w:beforeLines="50" w:after="120" w:afterLines="50"/>
        <w:rPr>
          <w:rFonts w:hint="eastAsia" w:ascii="宋体" w:hAnsi="宋体" w:eastAsia="宋体" w:cs="宋体"/>
          <w:b/>
          <w:color w:val="000000"/>
          <w:sz w:val="24"/>
          <w:szCs w:val="24"/>
        </w:rPr>
      </w:pPr>
      <w:bookmarkStart w:id="316" w:name="_Toc287015604"/>
      <w:bookmarkStart w:id="317" w:name="_Toc152045577"/>
      <w:bookmarkStart w:id="318" w:name="_Toc495964982"/>
      <w:bookmarkStart w:id="319" w:name="_Toc144974545"/>
      <w:bookmarkStart w:id="320" w:name="_Toc294124206"/>
      <w:bookmarkStart w:id="321" w:name="_Toc179632595"/>
      <w:bookmarkStart w:id="322" w:name="_Toc286929477"/>
      <w:bookmarkStart w:id="323" w:name="_Toc152042353"/>
      <w:r>
        <w:rPr>
          <w:rFonts w:hint="eastAsia" w:ascii="宋体" w:hAnsi="宋体" w:eastAsia="宋体" w:cs="宋体"/>
          <w:b/>
          <w:color w:val="000000"/>
          <w:sz w:val="24"/>
        </w:rPr>
        <w:t>9.3 对评标委员会成员的纪律要求</w:t>
      </w:r>
      <w:bookmarkEnd w:id="316"/>
      <w:bookmarkEnd w:id="317"/>
      <w:bookmarkEnd w:id="318"/>
      <w:bookmarkEnd w:id="319"/>
      <w:bookmarkEnd w:id="320"/>
      <w:bookmarkEnd w:id="321"/>
      <w:bookmarkEnd w:id="322"/>
      <w:bookmarkEnd w:id="323"/>
    </w:p>
    <w:p>
      <w:pPr>
        <w:spacing w:line="5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没有规定的评审因素和标准进行评标。</w:t>
      </w:r>
    </w:p>
    <w:p>
      <w:pPr>
        <w:spacing w:before="120" w:beforeLines="50" w:after="120" w:afterLines="50"/>
        <w:rPr>
          <w:rFonts w:hint="eastAsia" w:ascii="宋体" w:hAnsi="宋体" w:eastAsia="宋体" w:cs="宋体"/>
          <w:b/>
          <w:color w:val="000000"/>
          <w:sz w:val="24"/>
          <w:szCs w:val="24"/>
        </w:rPr>
      </w:pPr>
      <w:bookmarkStart w:id="324" w:name="_Toc152042354"/>
      <w:bookmarkStart w:id="325" w:name="_Toc179632596"/>
      <w:bookmarkStart w:id="326" w:name="_Toc286929478"/>
      <w:bookmarkStart w:id="327" w:name="_Toc287015605"/>
      <w:bookmarkStart w:id="328" w:name="_Toc495964983"/>
      <w:bookmarkStart w:id="329" w:name="_Toc152045578"/>
      <w:bookmarkStart w:id="330" w:name="_Toc294124207"/>
      <w:bookmarkStart w:id="331" w:name="_Toc144974546"/>
      <w:r>
        <w:rPr>
          <w:rFonts w:hint="eastAsia" w:ascii="宋体" w:hAnsi="宋体" w:eastAsia="宋体" w:cs="宋体"/>
          <w:b/>
          <w:color w:val="000000"/>
          <w:sz w:val="24"/>
        </w:rPr>
        <w:t>9.4 对与评标活动有关的工作人员的纪律要求</w:t>
      </w:r>
      <w:bookmarkEnd w:id="324"/>
      <w:bookmarkEnd w:id="325"/>
      <w:bookmarkEnd w:id="326"/>
      <w:bookmarkEnd w:id="327"/>
      <w:bookmarkEnd w:id="328"/>
      <w:bookmarkEnd w:id="329"/>
      <w:bookmarkEnd w:id="330"/>
    </w:p>
    <w:p>
      <w:pPr>
        <w:spacing w:line="500" w:lineRule="exact"/>
        <w:ind w:firstLine="420" w:firstLineChars="200"/>
        <w:rPr>
          <w:rFonts w:hint="eastAsia" w:ascii="宋体" w:hAnsi="宋体" w:eastAsia="宋体" w:cs="宋体"/>
          <w:b/>
          <w:color w:val="000000"/>
          <w:sz w:val="32"/>
        </w:rPr>
      </w:pPr>
      <w:bookmarkStart w:id="332" w:name="_Toc152042355"/>
      <w:r>
        <w:rPr>
          <w:rFonts w:hint="eastAsia" w:ascii="宋体" w:hAnsi="宋体" w:eastAsia="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1"/>
      <w:bookmarkEnd w:id="332"/>
      <w:r>
        <w:rPr>
          <w:rFonts w:hint="eastAsia" w:ascii="宋体" w:hAnsi="宋体" w:eastAsia="宋体" w:cs="宋体"/>
          <w:b/>
          <w:color w:val="000000"/>
          <w:sz w:val="32"/>
        </w:rPr>
        <w:br w:type="page"/>
      </w:r>
    </w:p>
    <w:p>
      <w:pPr>
        <w:pStyle w:val="4"/>
        <w:rPr>
          <w:rFonts w:hint="eastAsia" w:ascii="宋体" w:hAnsi="宋体" w:eastAsia="宋体" w:cs="宋体"/>
          <w:color w:val="000000"/>
          <w:sz w:val="32"/>
          <w:szCs w:val="32"/>
        </w:rPr>
      </w:pPr>
      <w:bookmarkStart w:id="333" w:name="_Toc511633587"/>
    </w:p>
    <w:p>
      <w:pPr>
        <w:pStyle w:val="4"/>
        <w:numPr>
          <w:ilvl w:val="0"/>
          <w:numId w:val="2"/>
        </w:numPr>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bookmarkEnd w:id="333"/>
      <w:r>
        <w:rPr>
          <w:rFonts w:hint="eastAsia" w:ascii="宋体" w:hAnsi="宋体" w:eastAsia="宋体" w:cs="宋体"/>
          <w:color w:val="000000"/>
          <w:sz w:val="32"/>
          <w:szCs w:val="32"/>
        </w:rPr>
        <w:t>技术规范及相关要求</w:t>
      </w:r>
    </w:p>
    <w:p>
      <w:pPr>
        <w:rPr>
          <w:rFonts w:hint="eastAsia" w:ascii="宋体" w:hAnsi="宋体" w:eastAsia="宋体" w:cs="宋体"/>
        </w:rPr>
      </w:pPr>
    </w:p>
    <w:p>
      <w:pPr>
        <w:numPr>
          <w:ilvl w:val="0"/>
          <w:numId w:val="3"/>
        </w:numPr>
        <w:spacing w:line="360" w:lineRule="auto"/>
        <w:jc w:val="left"/>
        <w:rPr>
          <w:rFonts w:hint="eastAsia" w:ascii="宋体" w:hAnsi="宋体" w:eastAsia="宋体" w:cs="宋体"/>
          <w:b/>
          <w:bCs/>
          <w:szCs w:val="21"/>
        </w:rPr>
      </w:pPr>
      <w:r>
        <w:rPr>
          <w:rFonts w:hint="eastAsia" w:ascii="宋体" w:hAnsi="宋体" w:eastAsia="宋体" w:cs="宋体"/>
          <w:b/>
          <w:bCs/>
          <w:szCs w:val="21"/>
        </w:rPr>
        <w:t>项目名称</w:t>
      </w:r>
    </w:p>
    <w:p>
      <w:pPr>
        <w:spacing w:line="360" w:lineRule="auto"/>
        <w:ind w:left="640" w:firstLine="420" w:firstLineChars="200"/>
        <w:rPr>
          <w:rFonts w:hint="eastAsia" w:ascii="宋体" w:hAnsi="宋体" w:eastAsia="宋体" w:cs="宋体"/>
          <w:szCs w:val="21"/>
        </w:rPr>
      </w:pPr>
      <w:r>
        <w:rPr>
          <w:rFonts w:hint="eastAsia" w:ascii="宋体" w:hAnsi="宋体" w:eastAsia="宋体" w:cs="宋体"/>
          <w:color w:val="000000"/>
          <w:szCs w:val="21"/>
        </w:rPr>
        <w:t>长沙汇富中心充电站项目</w:t>
      </w:r>
    </w:p>
    <w:p>
      <w:pPr>
        <w:numPr>
          <w:ilvl w:val="0"/>
          <w:numId w:val="3"/>
        </w:numPr>
        <w:spacing w:line="360" w:lineRule="auto"/>
        <w:rPr>
          <w:rFonts w:hint="eastAsia" w:ascii="宋体" w:hAnsi="宋体" w:eastAsia="宋体" w:cs="宋体"/>
          <w:b/>
          <w:bCs/>
          <w:szCs w:val="21"/>
        </w:rPr>
      </w:pPr>
      <w:r>
        <w:rPr>
          <w:rFonts w:hint="eastAsia" w:ascii="宋体" w:hAnsi="宋体" w:eastAsia="宋体" w:cs="宋体"/>
          <w:b/>
          <w:bCs/>
          <w:szCs w:val="21"/>
        </w:rPr>
        <w:t>项目位置</w:t>
      </w:r>
    </w:p>
    <w:p>
      <w:pPr>
        <w:spacing w:line="360" w:lineRule="auto"/>
        <w:ind w:left="640" w:firstLine="420" w:firstLineChars="200"/>
        <w:rPr>
          <w:rFonts w:hint="eastAsia" w:ascii="宋体" w:hAnsi="宋体" w:eastAsia="宋体" w:cs="宋体"/>
          <w:szCs w:val="21"/>
        </w:rPr>
      </w:pPr>
      <w:r>
        <w:rPr>
          <w:rFonts w:hint="eastAsia" w:ascii="宋体" w:hAnsi="宋体" w:eastAsia="宋体" w:cs="宋体"/>
          <w:color w:val="000000"/>
          <w:szCs w:val="21"/>
        </w:rPr>
        <w:t>长沙汇富中心</w:t>
      </w:r>
    </w:p>
    <w:p>
      <w:pPr>
        <w:numPr>
          <w:ilvl w:val="0"/>
          <w:numId w:val="3"/>
        </w:numPr>
        <w:spacing w:line="360" w:lineRule="auto"/>
        <w:rPr>
          <w:rFonts w:hint="eastAsia" w:ascii="宋体" w:hAnsi="宋体" w:eastAsia="宋体" w:cs="宋体"/>
          <w:szCs w:val="21"/>
        </w:rPr>
      </w:pPr>
      <w:r>
        <w:rPr>
          <w:rFonts w:hint="eastAsia" w:ascii="宋体" w:hAnsi="宋体" w:eastAsia="宋体" w:cs="宋体"/>
          <w:b/>
          <w:bCs/>
          <w:szCs w:val="21"/>
        </w:rPr>
        <w:t>项目概况</w:t>
      </w:r>
    </w:p>
    <w:p>
      <w:pPr>
        <w:numPr>
          <w:ilvl w:val="0"/>
          <w:numId w:val="0"/>
        </w:numPr>
        <w:spacing w:line="360" w:lineRule="auto"/>
        <w:ind w:left="640" w:leftChars="0" w:firstLine="420" w:firstLineChars="200"/>
        <w:rPr>
          <w:rFonts w:hint="eastAsia" w:ascii="宋体" w:hAnsi="宋体" w:eastAsia="宋体" w:cs="宋体"/>
          <w:szCs w:val="21"/>
        </w:rPr>
      </w:pPr>
      <w:r>
        <w:rPr>
          <w:rFonts w:hint="eastAsia" w:ascii="宋体" w:hAnsi="宋体" w:eastAsia="宋体" w:cs="宋体"/>
          <w:color w:val="000000"/>
          <w:kern w:val="0"/>
          <w:szCs w:val="21"/>
          <w:lang w:val="en-US" w:eastAsia="zh-CN"/>
        </w:rPr>
        <w:t>本项目规划长沙汇富中心权属的停车场安装充电桩，安装120kW直流充电桩（双枪快充）9台，配套建设低压设备、监控系统、消防器具、照明系统、网络系统及安全预警系统等站场配套设施。</w:t>
      </w:r>
    </w:p>
    <w:p>
      <w:pPr>
        <w:numPr>
          <w:ilvl w:val="0"/>
          <w:numId w:val="3"/>
        </w:numPr>
        <w:spacing w:line="360" w:lineRule="auto"/>
        <w:rPr>
          <w:rFonts w:hint="eastAsia" w:ascii="宋体" w:hAnsi="宋体" w:eastAsia="宋体" w:cs="宋体"/>
          <w:b/>
          <w:szCs w:val="21"/>
        </w:rPr>
      </w:pPr>
      <w:r>
        <w:rPr>
          <w:rFonts w:hint="eastAsia" w:ascii="宋体" w:hAnsi="宋体" w:eastAsia="宋体" w:cs="宋体"/>
          <w:b/>
          <w:szCs w:val="21"/>
        </w:rPr>
        <w:t>承包方式</w:t>
      </w:r>
    </w:p>
    <w:p>
      <w:pPr>
        <w:spacing w:line="360" w:lineRule="auto"/>
        <w:ind w:left="640" w:firstLine="420" w:firstLineChars="200"/>
        <w:rPr>
          <w:rFonts w:hint="eastAsia" w:ascii="宋体" w:hAnsi="宋体" w:eastAsia="宋体" w:cs="宋体"/>
          <w:szCs w:val="21"/>
        </w:rPr>
      </w:pPr>
      <w:r>
        <w:rPr>
          <w:rFonts w:hint="eastAsia" w:ascii="宋体" w:hAnsi="宋体" w:eastAsia="宋体" w:cs="宋体"/>
          <w:szCs w:val="21"/>
        </w:rPr>
        <w:t>总承包</w:t>
      </w:r>
    </w:p>
    <w:p>
      <w:pPr>
        <w:numPr>
          <w:ilvl w:val="0"/>
          <w:numId w:val="3"/>
        </w:numPr>
        <w:spacing w:line="360" w:lineRule="auto"/>
        <w:rPr>
          <w:rFonts w:hint="eastAsia" w:ascii="宋体" w:hAnsi="宋体" w:eastAsia="宋体" w:cs="宋体"/>
        </w:rPr>
      </w:pPr>
      <w:r>
        <w:rPr>
          <w:rFonts w:hint="eastAsia" w:ascii="宋体" w:hAnsi="宋体" w:eastAsia="宋体" w:cs="宋体"/>
          <w:b/>
          <w:szCs w:val="21"/>
        </w:rPr>
        <w:t>质量标准</w:t>
      </w:r>
    </w:p>
    <w:p>
      <w:pPr>
        <w:spacing w:line="360" w:lineRule="auto"/>
        <w:ind w:left="640" w:firstLine="420" w:firstLineChars="200"/>
        <w:rPr>
          <w:rFonts w:hint="eastAsia" w:ascii="宋体" w:hAnsi="宋体" w:eastAsia="宋体" w:cs="宋体"/>
        </w:rPr>
      </w:pPr>
      <w:r>
        <w:rPr>
          <w:rFonts w:hint="eastAsia" w:ascii="宋体" w:hAnsi="宋体" w:eastAsia="宋体" w:cs="宋体"/>
          <w:color w:val="000000" w:themeColor="text1"/>
          <w:szCs w:val="21"/>
          <w14:textFill>
            <w14:solidFill>
              <w14:schemeClr w14:val="tx1"/>
            </w14:solidFill>
          </w14:textFill>
        </w:rPr>
        <w:t>合格</w:t>
      </w:r>
    </w:p>
    <w:p>
      <w:pPr>
        <w:numPr>
          <w:ilvl w:val="0"/>
          <w:numId w:val="3"/>
        </w:numPr>
        <w:spacing w:line="360" w:lineRule="auto"/>
        <w:rPr>
          <w:rFonts w:hint="eastAsia" w:ascii="宋体" w:hAnsi="宋体" w:eastAsia="宋体" w:cs="宋体"/>
          <w:b/>
          <w:szCs w:val="21"/>
        </w:rPr>
      </w:pPr>
      <w:r>
        <w:rPr>
          <w:rFonts w:hint="eastAsia" w:ascii="宋体" w:hAnsi="宋体" w:eastAsia="宋体" w:cs="宋体"/>
          <w:b/>
          <w:szCs w:val="21"/>
        </w:rPr>
        <w:t>工程保修</w:t>
      </w:r>
    </w:p>
    <w:p>
      <w:pPr>
        <w:pStyle w:val="3"/>
        <w:spacing w:line="360" w:lineRule="auto"/>
        <w:ind w:left="640" w:firstLine="420" w:firstLineChars="200"/>
        <w:rPr>
          <w:rFonts w:hint="eastAsia" w:ascii="宋体" w:hAnsi="宋体" w:eastAsia="宋体" w:cs="宋体"/>
        </w:rPr>
      </w:pPr>
      <w:r>
        <w:rPr>
          <w:rFonts w:hint="eastAsia" w:ascii="宋体" w:hAnsi="宋体" w:eastAsia="宋体" w:cs="宋体"/>
        </w:rPr>
        <w:t>按施工合同约定</w:t>
      </w:r>
    </w:p>
    <w:p>
      <w:pPr>
        <w:spacing w:line="360" w:lineRule="auto"/>
        <w:ind w:firstLine="632" w:firstLineChars="300"/>
        <w:rPr>
          <w:rFonts w:hint="eastAsia" w:ascii="宋体" w:hAnsi="宋体" w:eastAsia="宋体" w:cs="宋体"/>
          <w:b/>
          <w:bCs/>
          <w:szCs w:val="21"/>
        </w:rPr>
      </w:pPr>
      <w:r>
        <w:rPr>
          <w:rFonts w:hint="eastAsia" w:ascii="宋体" w:hAnsi="宋体" w:eastAsia="宋体" w:cs="宋体"/>
          <w:b/>
          <w:bCs/>
          <w:szCs w:val="21"/>
        </w:rPr>
        <w:t>七、工程量清单及图纸</w:t>
      </w:r>
    </w:p>
    <w:p>
      <w:pPr>
        <w:spacing w:line="360" w:lineRule="auto"/>
        <w:ind w:left="640" w:firstLine="420" w:firstLineChars="200"/>
        <w:rPr>
          <w:rFonts w:hint="eastAsia" w:ascii="宋体" w:hAnsi="宋体" w:eastAsia="宋体" w:cs="宋体"/>
          <w:b/>
          <w:szCs w:val="21"/>
        </w:rPr>
        <w:sectPr>
          <w:headerReference r:id="rId5" w:type="first"/>
          <w:footerReference r:id="rId7" w:type="first"/>
          <w:headerReference r:id="rId4" w:type="default"/>
          <w:footerReference r:id="rId6" w:type="default"/>
          <w:pgSz w:w="11907" w:h="16840"/>
          <w:pgMar w:top="426" w:right="1418" w:bottom="1134" w:left="1418" w:header="851" w:footer="851" w:gutter="0"/>
          <w:pgBorders>
            <w:top w:val="none" w:sz="0" w:space="0"/>
            <w:left w:val="none" w:sz="0" w:space="0"/>
            <w:bottom w:val="none" w:sz="0" w:space="0"/>
            <w:right w:val="none" w:sz="0" w:space="0"/>
          </w:pgBorders>
          <w:pgNumType w:fmt="decimal"/>
          <w:cols w:space="720" w:num="1"/>
          <w:docGrid w:linePitch="312" w:charSpace="41434"/>
        </w:sectPr>
      </w:pPr>
      <w:r>
        <w:rPr>
          <w:rFonts w:hint="eastAsia" w:ascii="宋体" w:hAnsi="宋体" w:eastAsia="宋体" w:cs="宋体"/>
          <w:szCs w:val="21"/>
        </w:rPr>
        <w:t>（另册）</w:t>
      </w:r>
    </w:p>
    <w:p>
      <w:pPr>
        <w:pStyle w:val="4"/>
        <w:numPr>
          <w:ilvl w:val="0"/>
          <w:numId w:val="2"/>
        </w:numPr>
        <w:rPr>
          <w:rFonts w:hint="eastAsia" w:ascii="宋体" w:hAnsi="宋体" w:eastAsia="宋体" w:cs="宋体"/>
          <w:color w:val="000000"/>
          <w:sz w:val="32"/>
          <w:szCs w:val="32"/>
        </w:rPr>
      </w:pPr>
      <w:r>
        <w:rPr>
          <w:rFonts w:hint="eastAsia" w:ascii="宋体" w:hAnsi="宋体" w:eastAsia="宋体" w:cs="宋体"/>
          <w:color w:val="000000"/>
          <w:sz w:val="32"/>
          <w:szCs w:val="32"/>
        </w:rPr>
        <w:t>合同格式</w:t>
      </w:r>
    </w:p>
    <w:p>
      <w:pPr>
        <w:rPr>
          <w:rFonts w:hint="eastAsia" w:ascii="宋体" w:hAnsi="宋体" w:eastAsia="宋体" w:cs="宋体"/>
        </w:rPr>
      </w:pPr>
    </w:p>
    <w:p>
      <w:pPr>
        <w:pStyle w:val="35"/>
        <w:ind w:firstLine="5400" w:firstLineChars="18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合同编号：</w:t>
      </w:r>
    </w:p>
    <w:p>
      <w:pPr>
        <w:pStyle w:val="35"/>
        <w:spacing w:before="312" w:beforeLines="100" w:after="312" w:afterLines="100" w:line="480" w:lineRule="auto"/>
        <w:jc w:val="center"/>
        <w:rPr>
          <w:rFonts w:hint="eastAsia" w:ascii="宋体" w:hAnsi="宋体" w:eastAsia="宋体" w:cs="宋体"/>
          <w:color w:val="000000"/>
          <w:kern w:val="0"/>
          <w:sz w:val="44"/>
          <w:szCs w:val="44"/>
        </w:rPr>
      </w:pPr>
    </w:p>
    <w:p>
      <w:pPr>
        <w:jc w:val="center"/>
        <w:rPr>
          <w:rFonts w:hint="eastAsia" w:ascii="宋体" w:hAnsi="宋体" w:eastAsia="宋体" w:cs="宋体"/>
          <w:color w:val="000000"/>
          <w:kern w:val="0"/>
          <w:sz w:val="48"/>
          <w:szCs w:val="48"/>
        </w:rPr>
      </w:pPr>
    </w:p>
    <w:p>
      <w:pPr>
        <w:jc w:val="center"/>
        <w:rPr>
          <w:rFonts w:hint="eastAsia" w:ascii="宋体" w:hAnsi="宋体" w:eastAsia="宋体" w:cs="宋体"/>
          <w:b/>
          <w:bCs/>
          <w:color w:val="000000"/>
          <w:kern w:val="0"/>
          <w:sz w:val="48"/>
          <w:szCs w:val="48"/>
          <w:lang w:eastAsia="zh-CN"/>
        </w:rPr>
      </w:pPr>
      <w:r>
        <w:rPr>
          <w:rFonts w:hint="eastAsia" w:ascii="宋体" w:hAnsi="宋体" w:eastAsia="宋体" w:cs="宋体"/>
          <w:b/>
          <w:bCs/>
          <w:color w:val="000000"/>
          <w:kern w:val="0"/>
          <w:sz w:val="48"/>
          <w:szCs w:val="48"/>
          <w:lang w:eastAsia="zh-CN"/>
        </w:rPr>
        <w:t>长沙汇富中心</w:t>
      </w:r>
    </w:p>
    <w:p>
      <w:pPr>
        <w:jc w:val="center"/>
        <w:rPr>
          <w:rFonts w:hint="eastAsia" w:ascii="宋体" w:hAnsi="宋体" w:eastAsia="宋体" w:cs="宋体"/>
          <w:color w:val="000000"/>
          <w:kern w:val="0"/>
          <w:sz w:val="48"/>
          <w:szCs w:val="48"/>
          <w:lang w:eastAsia="zh-CN"/>
        </w:rPr>
      </w:pPr>
      <w:r>
        <w:rPr>
          <w:rFonts w:hint="eastAsia" w:ascii="宋体" w:hAnsi="宋体" w:eastAsia="宋体" w:cs="宋体"/>
          <w:b/>
          <w:bCs/>
          <w:color w:val="000000"/>
          <w:kern w:val="0"/>
          <w:sz w:val="48"/>
          <w:szCs w:val="48"/>
          <w:lang w:eastAsia="zh-CN"/>
        </w:rPr>
        <w:t>新能源充电站配套项目</w:t>
      </w:r>
    </w:p>
    <w:p>
      <w:pPr>
        <w:jc w:val="center"/>
        <w:rPr>
          <w:rFonts w:hint="eastAsia" w:ascii="宋体" w:hAnsi="宋体" w:eastAsia="宋体" w:cs="宋体"/>
          <w:color w:val="000000"/>
          <w:kern w:val="0"/>
          <w:sz w:val="48"/>
          <w:szCs w:val="48"/>
        </w:rPr>
      </w:pPr>
    </w:p>
    <w:p>
      <w:pPr>
        <w:jc w:val="center"/>
        <w:rPr>
          <w:rFonts w:hint="eastAsia" w:ascii="宋体" w:hAnsi="宋体" w:eastAsia="宋体" w:cs="宋体"/>
          <w:color w:val="000000"/>
          <w:kern w:val="0"/>
          <w:sz w:val="48"/>
          <w:szCs w:val="48"/>
        </w:rPr>
      </w:pPr>
    </w:p>
    <w:p>
      <w:pPr>
        <w:jc w:val="center"/>
        <w:rPr>
          <w:rFonts w:hint="eastAsia" w:ascii="宋体" w:hAnsi="宋体" w:eastAsia="宋体" w:cs="宋体"/>
          <w:b/>
          <w:bCs/>
          <w:sz w:val="44"/>
          <w:szCs w:val="44"/>
        </w:rPr>
      </w:pPr>
      <w:r>
        <w:rPr>
          <w:rFonts w:hint="eastAsia" w:ascii="宋体" w:hAnsi="宋体" w:eastAsia="宋体" w:cs="宋体"/>
          <w:b/>
          <w:bCs/>
          <w:sz w:val="48"/>
          <w:szCs w:val="48"/>
          <w:lang w:eastAsia="zh-CN"/>
        </w:rPr>
        <w:t>施工</w:t>
      </w:r>
      <w:r>
        <w:rPr>
          <w:rFonts w:hint="eastAsia" w:ascii="宋体" w:hAnsi="宋体" w:eastAsia="宋体" w:cs="宋体"/>
          <w:b/>
          <w:bCs/>
          <w:sz w:val="48"/>
          <w:szCs w:val="48"/>
        </w:rPr>
        <w:t>合同</w:t>
      </w:r>
    </w:p>
    <w:p>
      <w:pPr>
        <w:jc w:val="center"/>
        <w:rPr>
          <w:rFonts w:hint="eastAsia" w:ascii="宋体" w:hAnsi="宋体" w:eastAsia="宋体" w:cs="宋体"/>
          <w:sz w:val="44"/>
          <w:szCs w:val="44"/>
        </w:rPr>
      </w:pPr>
    </w:p>
    <w:p>
      <w:pPr>
        <w:rPr>
          <w:rFonts w:hint="eastAsia" w:ascii="宋体" w:hAnsi="宋体" w:eastAsia="宋体" w:cs="宋体"/>
        </w:rPr>
      </w:pPr>
    </w:p>
    <w:p>
      <w:pPr>
        <w:rPr>
          <w:rFonts w:hint="eastAsia" w:ascii="宋体" w:hAnsi="宋体" w:eastAsia="宋体" w:cs="宋体"/>
        </w:rPr>
      </w:pPr>
    </w:p>
    <w:p>
      <w:pPr>
        <w:adjustRightInd w:val="0"/>
        <w:snapToGrid w:val="0"/>
        <w:spacing w:line="288" w:lineRule="auto"/>
        <w:rPr>
          <w:rFonts w:hint="eastAsia" w:ascii="宋体" w:hAnsi="宋体" w:eastAsia="宋体" w:cs="宋体"/>
          <w:b/>
          <w:sz w:val="30"/>
          <w:u w:val="single"/>
        </w:rPr>
      </w:pPr>
      <w:r>
        <w:rPr>
          <w:rFonts w:hint="eastAsia" w:ascii="宋体" w:hAnsi="宋体" w:eastAsia="宋体" w:cs="宋体"/>
          <w:b/>
          <w:color w:val="000000"/>
          <w:sz w:val="32"/>
          <w:szCs w:val="32"/>
        </w:rPr>
        <w:t>甲 方：</w:t>
      </w:r>
      <w:r>
        <w:rPr>
          <w:rFonts w:hint="eastAsia" w:ascii="宋体" w:hAnsi="宋体" w:eastAsia="宋体" w:cs="宋体"/>
          <w:b/>
          <w:bCs w:val="0"/>
          <w:color w:val="000000"/>
          <w:sz w:val="32"/>
          <w:szCs w:val="32"/>
          <w:u w:val="single"/>
          <w:lang w:val="en-US" w:eastAsia="zh-CN"/>
        </w:rPr>
        <w:t xml:space="preserve">                       </w:t>
      </w:r>
      <w:r>
        <w:rPr>
          <w:rFonts w:hint="eastAsia" w:ascii="宋体" w:hAnsi="宋体" w:eastAsia="宋体" w:cs="宋体"/>
          <w:b w:val="0"/>
          <w:bCs/>
          <w:color w:val="000000"/>
          <w:sz w:val="32"/>
          <w:szCs w:val="32"/>
          <w:u w:val="single"/>
          <w:lang w:eastAsia="zh-CN"/>
        </w:rPr>
        <w:t xml:space="preserve"> </w:t>
      </w:r>
    </w:p>
    <w:p>
      <w:pPr>
        <w:adjustRightInd w:val="0"/>
        <w:snapToGrid w:val="0"/>
        <w:spacing w:line="288" w:lineRule="auto"/>
        <w:ind w:firstLine="1280" w:firstLineChars="400"/>
        <w:rPr>
          <w:rFonts w:hint="eastAsia" w:ascii="宋体" w:hAnsi="宋体" w:eastAsia="宋体" w:cs="宋体"/>
          <w:b/>
          <w:color w:val="000000"/>
          <w:sz w:val="32"/>
          <w:szCs w:val="32"/>
        </w:rPr>
      </w:pPr>
    </w:p>
    <w:p>
      <w:pPr>
        <w:adjustRightInd w:val="0"/>
        <w:snapToGrid w:val="0"/>
        <w:spacing w:line="288" w:lineRule="auto"/>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rPr>
        <w:t>乙 方：</w:t>
      </w:r>
      <w:r>
        <w:rPr>
          <w:rFonts w:hint="eastAsia" w:ascii="宋体" w:hAnsi="宋体" w:eastAsia="宋体" w:cs="宋体"/>
          <w:b/>
          <w:color w:val="000000"/>
          <w:sz w:val="32"/>
          <w:szCs w:val="32"/>
          <w:u w:val="single"/>
          <w:lang w:val="en-US" w:eastAsia="zh-CN"/>
        </w:rPr>
        <w:t xml:space="preserve">                        </w:t>
      </w:r>
    </w:p>
    <w:p>
      <w:pPr>
        <w:adjustRightInd w:val="0"/>
        <w:snapToGrid w:val="0"/>
        <w:spacing w:line="288" w:lineRule="auto"/>
        <w:ind w:firstLine="1280" w:firstLineChars="400"/>
        <w:jc w:val="center"/>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p>
    <w:p>
      <w:pPr>
        <w:adjustRightInd w:val="0"/>
        <w:snapToGrid w:val="0"/>
        <w:spacing w:line="288" w:lineRule="auto"/>
        <w:ind w:firstLine="2240" w:firstLineChars="700"/>
        <w:jc w:val="left"/>
        <w:rPr>
          <w:rFonts w:hint="eastAsia" w:ascii="宋体" w:hAnsi="宋体" w:eastAsia="宋体" w:cs="宋体"/>
          <w:b/>
          <w:color w:val="000000"/>
          <w:sz w:val="32"/>
          <w:szCs w:val="32"/>
        </w:rPr>
      </w:pPr>
      <w:r>
        <w:rPr>
          <w:rFonts w:hint="eastAsia" w:ascii="宋体" w:hAnsi="宋体" w:eastAsia="宋体" w:cs="宋体"/>
          <w:b/>
          <w:color w:val="000000"/>
          <w:sz w:val="32"/>
          <w:szCs w:val="32"/>
        </w:rPr>
        <w:t>合同签订地：湖南省</w:t>
      </w:r>
      <w:r>
        <w:rPr>
          <w:rFonts w:hint="eastAsia" w:ascii="宋体" w:hAnsi="宋体" w:eastAsia="宋体" w:cs="宋体"/>
          <w:b/>
          <w:color w:val="000000"/>
          <w:sz w:val="32"/>
          <w:szCs w:val="32"/>
          <w:lang w:val="en-US" w:eastAsia="zh-CN"/>
        </w:rPr>
        <w:t>岳阳</w:t>
      </w:r>
      <w:r>
        <w:rPr>
          <w:rFonts w:hint="eastAsia" w:ascii="宋体" w:hAnsi="宋体" w:eastAsia="宋体" w:cs="宋体"/>
          <w:b/>
          <w:color w:val="000000"/>
          <w:sz w:val="32"/>
          <w:szCs w:val="32"/>
        </w:rPr>
        <w:t>市</w:t>
      </w:r>
    </w:p>
    <w:p>
      <w:pPr>
        <w:snapToGrid w:val="0"/>
        <w:spacing w:line="360" w:lineRule="auto"/>
        <w:rPr>
          <w:rFonts w:hint="eastAsia" w:ascii="宋体" w:hAnsi="宋体" w:eastAsia="宋体" w:cs="宋体"/>
          <w:b/>
          <w:bCs/>
          <w:color w:val="000000"/>
          <w:sz w:val="32"/>
          <w:szCs w:val="32"/>
        </w:rPr>
      </w:pPr>
      <w:r>
        <w:rPr>
          <w:rFonts w:hint="eastAsia" w:ascii="宋体" w:hAnsi="宋体" w:eastAsia="宋体" w:cs="宋体"/>
          <w:b/>
          <w:color w:val="000000"/>
          <w:sz w:val="32"/>
          <w:szCs w:val="32"/>
        </w:rPr>
        <w:t xml:space="preserve">         </w:t>
      </w:r>
      <w:r>
        <w:rPr>
          <w:rFonts w:hint="eastAsia" w:ascii="宋体" w:hAnsi="宋体" w:eastAsia="宋体" w:cs="宋体"/>
          <w:color w:val="000000"/>
          <w:sz w:val="32"/>
          <w:szCs w:val="32"/>
        </w:rPr>
        <w:t xml:space="preserve">       </w:t>
      </w:r>
      <w:r>
        <w:rPr>
          <w:rFonts w:hint="eastAsia" w:ascii="宋体" w:hAnsi="宋体" w:eastAsia="宋体" w:cs="宋体"/>
          <w:b/>
          <w:bCs/>
          <w:color w:val="000000"/>
          <w:sz w:val="32"/>
          <w:szCs w:val="32"/>
        </w:rPr>
        <w:t xml:space="preserve"> 二０二</w:t>
      </w:r>
      <w:r>
        <w:rPr>
          <w:rFonts w:hint="eastAsia" w:ascii="宋体" w:hAnsi="宋体" w:eastAsia="宋体" w:cs="宋体"/>
          <w:b/>
          <w:bCs/>
          <w:color w:val="000000"/>
          <w:sz w:val="32"/>
          <w:szCs w:val="32"/>
          <w:lang w:val="en-US" w:eastAsia="zh-CN"/>
        </w:rPr>
        <w:t>四</w:t>
      </w:r>
      <w:r>
        <w:rPr>
          <w:rFonts w:hint="eastAsia" w:ascii="宋体" w:hAnsi="宋体" w:eastAsia="宋体" w:cs="宋体"/>
          <w:b/>
          <w:bCs/>
          <w:color w:val="000000"/>
          <w:sz w:val="32"/>
          <w:szCs w:val="32"/>
        </w:rPr>
        <w:t>年</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月</w:t>
      </w:r>
    </w:p>
    <w:p>
      <w:pPr>
        <w:widowControl/>
        <w:spacing w:line="360" w:lineRule="auto"/>
        <w:jc w:val="center"/>
        <w:outlineLvl w:val="2"/>
        <w:rPr>
          <w:rFonts w:hint="eastAsia" w:ascii="宋体" w:hAnsi="宋体" w:eastAsia="宋体" w:cs="宋体"/>
          <w:b/>
          <w:bCs/>
          <w:spacing w:val="45"/>
          <w:kern w:val="0"/>
          <w:sz w:val="33"/>
          <w:szCs w:val="33"/>
        </w:rPr>
        <w:sectPr>
          <w:headerReference r:id="rId8" w:type="default"/>
          <w:footerReference r:id="rId9" w:type="even"/>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甲方：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乙方： </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根据政府采购结果，长沙汇富中心充电站项目由</w:t>
      </w:r>
      <w:r>
        <w:rPr>
          <w:rFonts w:hint="eastAsia" w:ascii="宋体" w:hAnsi="宋体" w:eastAsia="宋体" w:cs="宋体"/>
          <w:color w:val="000000"/>
          <w:kern w:val="0"/>
          <w:szCs w:val="21"/>
          <w:u w:val="single"/>
          <w:lang w:val="en-US" w:eastAsia="zh-CN"/>
        </w:rPr>
        <w:t xml:space="preserve">      </w:t>
      </w:r>
      <w:r>
        <w:rPr>
          <w:rFonts w:hint="eastAsia" w:ascii="宋体" w:hAnsi="宋体" w:eastAsia="宋体" w:cs="宋体"/>
          <w:color w:val="000000"/>
          <w:kern w:val="0"/>
          <w:szCs w:val="21"/>
          <w:lang w:val="en-US" w:eastAsia="zh-CN"/>
        </w:rPr>
        <w:t>中标，现依照相关法律、法规，遵循平等、自愿、公平和诚实信用原则，签订本合同。</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一、工程概况</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 项目名称：长沙汇富中心充电站项目；</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 建设地点：长沙汇富中心；</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 工程承包范围：负责长沙汇富中心充电站项目的施工建设，具体以施工图纸和中标预算清单为准。</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二、合同期限</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2.1开工日期： 2024 年  月  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2.2竣工日期：      年  月  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2.3合同工期：  45  日（自签订合同之日起计算）；</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2.4缺陷责任期：自工程竣工验收合格之日起12个月。</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三、质量标准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3.1施工要求的质量标准：符合国家颁布的施工验收规范和质量检验标准，工程满足验收标准；</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四、合同金额及支付方式</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4.1合同金额：     元（大写：       ），包括所有相关费用。最终费用以财政结算审计为准。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4.2工程款支付：施工过程中按月支付进度款，比例为已完工程的60%；工程竣工验收合格后支付至合同内已完工程的75%，完成结算终审后支付至审定金额的97%，余款3%作为质量保证金，在质量缺陷责任期满后支付；</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4.3乙方应开具相应金额增值税专用发票给甲方，否则甲方有权拒绝付款且无须承担任何违约责任；</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4.4清单外新增工程量经甲方核定后现场签证计量或进行设计变更，在施工过程中完成变更、签证手续和施工任务后费用按投标人的综合下浮比例下浮后评审确定，支付方式按合同条款4.2执行；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4.5非司法部门的文书要求，工程款只能向以乙方为户名的银行账号拨付，不接受其他任何形式的委托付款。</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五、履约担保</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无。</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六、工程变更</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6.1甲方有权对本项目进行优化设计，乙方配合执行，如因设计缺陷、漏项、现场协调施工等原因需要变更的，经发包人批准后同意实施；</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6.2工程变更严格按照甲方【港投发（2020）50号】《工程变更、签证管理办法》等现行管理制度执行，在施工期内（竣工验收通过之前），如有新制度，按新制度执行；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6.3对于经甲方确认招标清单中错漏项的，可以进行变更（单价问题除外），乙方应在合同签订之日起30天内完成清单错漏项梳理和变更申请发起工作，在规定时间内未完成的将不再受理，结算不予增加；</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6.4对于经甲方确认工程量清单中错漏项的，可以进行设计变更，变更部分的计价，变更程序完成后以工程量清单财评预算综合单价为基础进行计量支付；</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6.5严禁先施工后补办变更手续，否则，甲方有权对变更内容不予认可，相应费用由乙方承担；</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6.6人工、材料调差，本项目施工周期短，不予进行人工、材料调差。</w:t>
      </w:r>
    </w:p>
    <w:p>
      <w:pPr>
        <w:numPr>
          <w:ilvl w:val="0"/>
          <w:numId w:val="0"/>
        </w:numPr>
        <w:spacing w:line="440" w:lineRule="exact"/>
        <w:ind w:left="640" w:leftChars="0"/>
        <w:rPr>
          <w:rFonts w:hint="eastAsia" w:ascii="宋体" w:hAnsi="宋体" w:eastAsia="宋体" w:cs="宋体"/>
          <w:color w:val="000000"/>
          <w:kern w:val="0"/>
          <w:szCs w:val="21"/>
          <w:lang w:val="en-US" w:eastAsia="zh-CN"/>
        </w:rPr>
      </w:pPr>
      <w:bookmarkStart w:id="334" w:name="_Toc24575"/>
      <w:r>
        <w:rPr>
          <w:rFonts w:hint="eastAsia" w:ascii="宋体" w:hAnsi="宋体" w:eastAsia="宋体" w:cs="宋体"/>
          <w:color w:val="000000"/>
          <w:kern w:val="0"/>
          <w:szCs w:val="21"/>
          <w:lang w:val="en-US" w:eastAsia="zh-CN"/>
        </w:rPr>
        <w:t>七、竣工验收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关于竣工验收程序的约定：电动汽车充电站国家标准，充电桩国标GB/T39752-2021《电动汽车供电设备安全要求及试验规范》执行和甲方【港投发（2020）54号】《工程竣工验收管理办法》等现行管理制度执行，在施工期内（竣工验收通过之前），如有新制度，按新制度执行。</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八、竣工结算</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8.1工程竣工验收合格后，乙方应在30天内向发包人提交一式三份的竣工结算报告，竣工结算清单须采用广联达软件编制；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8.2工程竣工结算按甲方【港投发（2020）49号】《工程预（结）算评审管理办法》等现行管理制度执行，在施工期内（竣工验收通过之前），如有新制度，按新制度执行；</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8.3乙方结算报审有如下行为的，视为违约，违约责任如下：经审定的结算金额与送审结算书金额误差超过15%以上时，按超过15%以上部分审减额计算的评审费由乙方承担，并同时处以该评审费1-8倍的违约金 。经审计发现的巧立名目、弄虚作假、虚报冒领造成的审减额，处以对应结算送审金额1%-20%的违约金。</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九、缺陷责任期</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w:t>
      </w:r>
      <w:bookmarkEnd w:id="334"/>
      <w:r>
        <w:rPr>
          <w:rFonts w:hint="eastAsia" w:ascii="宋体" w:hAnsi="宋体" w:eastAsia="宋体" w:cs="宋体"/>
          <w:color w:val="000000"/>
          <w:kern w:val="0"/>
          <w:szCs w:val="21"/>
          <w:lang w:val="en-US" w:eastAsia="zh-CN"/>
        </w:rPr>
        <w:t>双方的权利与义务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10.1甲方的权利与义务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10.1.1甲方有权对乙方质量、安全、费用、进度等工作进行监督检查，并根据相关法律法规及公司相关制度对项目进行管理；</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10.1.2甲方应及时提供相关资料，施工现场如存在阻工现象，甲方有义务进行协调，并协助乙方办理临建场地、办公临建、生活临建、施工用水、施工用电等工作。</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bookmarkStart w:id="335" w:name="_Toc17876555"/>
      <w:bookmarkStart w:id="336" w:name="_Toc13260"/>
      <w:r>
        <w:rPr>
          <w:rFonts w:hint="eastAsia" w:ascii="宋体" w:hAnsi="宋体" w:eastAsia="宋体" w:cs="宋体"/>
          <w:color w:val="000000"/>
          <w:kern w:val="0"/>
          <w:szCs w:val="21"/>
          <w:lang w:val="en-US" w:eastAsia="zh-CN"/>
        </w:rPr>
        <w:t>10.2、乙方的权利与义务</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10.2.1乙方施工过程中须遵守相关法律法规和甲方各项管理制度，严格按图施工；</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10.2.2乙方必须采用切实可行的安全措施保护场地内行人与第三者安全,其费用应考虑到报价中；乙方未按照规定认真执行，发生纠纷甚至安全事故的，一切责任及费用由乙方承担；</w:t>
      </w:r>
    </w:p>
    <w:bookmarkEnd w:id="335"/>
    <w:bookmarkEnd w:id="336"/>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10.2.3乙方应按照甲方《保障农民工工资支付条例》要求，缴存农民工工资保证金。乙方应按照规定实施农民工劳动用工实名制管理，与所雇用的农民工签订劳动合同，并配备劳资专管员，按实编制工资支付表。乙方应依据农民工实名制按实按月申报农民工工资工程量，并按月及时足额支付农民工工资。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10.2.4乙方须接受甲方的制度管理，按合同工期完成项目建设，否则甲方有权按公司制度及合同约定进行处罚。</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十一、违约责任</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11.1因甲方原因未能及时审批确定施工方案时，工期相应顺延；</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11.2因甲方其他原因造成停工或不能顺利施工的，乙方可向发包人书面提出工程顺延及补偿窝工费等损失，工期顺延的时间及窝工费等损失的数额，发包人依照国家法律法规和湖南城陵矶新港区规定最终审定；</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11.3由于乙方原因造成建设工期延长，未按本合同要求在约定期限内完工的，每拖延一天支付违约金1000元，作为乙方赔偿发包人因延长工期造成的经济损失；</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11.4如果因乙方原因不能继续完成本工程，发包人有权解除合同，对前期工程款进行结算，同时另选施工单位完成本工程，并没收乙方的履约保证金。</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11.5如乙方工程质量达不到合格要求，甲方责成乙方整改，所需费用由乙方支付，整改增加的费用不计入工程造价，由乙方自行承担，因此造成工期延期的，由乙方按本协议的约定承担延期的违约金。</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十二、 争议和裁决</w:t>
      </w:r>
    </w:p>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bookmarkStart w:id="337" w:name="_Toc17876581"/>
      <w:r>
        <w:rPr>
          <w:rFonts w:hint="eastAsia" w:ascii="宋体" w:hAnsi="宋体" w:eastAsia="宋体" w:cs="宋体"/>
          <w:color w:val="000000"/>
          <w:kern w:val="0"/>
          <w:szCs w:val="21"/>
          <w:lang w:val="en-US" w:eastAsia="zh-CN"/>
        </w:rPr>
        <w:t>12.1对合同引起的争议，甲方与乙方应协商解决；如协商未能达成一致，可提交主管部门协调；如仍不能达成一致时，可向项目所在地人民法院提起诉讼。</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十三、其它</w:t>
      </w:r>
    </w:p>
    <w:bookmarkEnd w:id="337"/>
    <w:p>
      <w:pPr>
        <w:numPr>
          <w:ilvl w:val="0"/>
          <w:numId w:val="0"/>
        </w:numPr>
        <w:spacing w:line="440" w:lineRule="exact"/>
        <w:ind w:left="640" w:leftChars="0" w:firstLine="420" w:firstLineChars="2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13.1本合同一式 捌 份，甲方执 肆 份，乙方执 肆  份。</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合同订立时间：         年      月      日</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合同订立地点：                           </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签章页（本页无正文）</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甲方（盖章）：湖南中昌新能源有限公司</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法人或委托代理人（签名）：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开户银行: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账    号：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2024年   月   日  </w:t>
      </w: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乙方（盖章）：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法人或委托代理人（签名）：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税    号：</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开户银行： </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账    号：</w:t>
      </w:r>
    </w:p>
    <w:p>
      <w:pPr>
        <w:numPr>
          <w:ilvl w:val="0"/>
          <w:numId w:val="0"/>
        </w:numPr>
        <w:spacing w:line="440" w:lineRule="exact"/>
        <w:ind w:left="640" w:leftChars="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2024年   月   日</w:t>
      </w:r>
    </w:p>
    <w:p>
      <w:pPr>
        <w:rPr>
          <w:rFonts w:hint="eastAsia" w:ascii="宋体" w:hAnsi="宋体" w:eastAsia="宋体" w:cs="宋体"/>
          <w:color w:val="000000" w:themeColor="text1"/>
          <w:szCs w:val="21"/>
          <w14:textFill>
            <w14:solidFill>
              <w14:schemeClr w14:val="tx1"/>
            </w14:solidFill>
          </w14:textFill>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32"/>
        <w:spacing w:line="360" w:lineRule="auto"/>
        <w:jc w:val="center"/>
        <w:rPr>
          <w:rFonts w:hint="eastAsia" w:ascii="宋体" w:hAnsi="宋体" w:eastAsia="宋体" w:cs="宋体"/>
          <w:b/>
          <w:bCs/>
          <w:sz w:val="21"/>
          <w:szCs w:val="21"/>
        </w:rPr>
      </w:pPr>
    </w:p>
    <w:p>
      <w:pPr>
        <w:pStyle w:val="20"/>
        <w:ind w:left="0" w:leftChars="0" w:firstLine="0" w:firstLineChars="0"/>
        <w:rPr>
          <w:rFonts w:hint="eastAsia" w:ascii="宋体" w:hAnsi="宋体" w:eastAsia="宋体" w:cs="宋体"/>
          <w:szCs w:val="21"/>
        </w:rPr>
      </w:pPr>
    </w:p>
    <w:p>
      <w:pPr>
        <w:pStyle w:val="4"/>
        <w:rPr>
          <w:rFonts w:hint="eastAsia" w:ascii="宋体" w:hAnsi="宋体" w:eastAsia="宋体" w:cs="宋体"/>
          <w:sz w:val="21"/>
          <w:szCs w:val="21"/>
        </w:rPr>
      </w:pPr>
      <w:r>
        <w:rPr>
          <w:rFonts w:hint="eastAsia" w:ascii="宋体" w:hAnsi="宋体" w:eastAsia="宋体" w:cs="宋体"/>
          <w:color w:val="000000"/>
          <w:sz w:val="32"/>
          <w:szCs w:val="32"/>
        </w:rPr>
        <w:t>第五章  投标文件部分格式</w:t>
      </w:r>
    </w:p>
    <w:p>
      <w:pPr>
        <w:spacing w:line="44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本表作为投标文件的目录，编排在投标文件的第一页。</w:t>
      </w:r>
    </w:p>
    <w:tbl>
      <w:tblPr>
        <w:tblStyle w:val="15"/>
        <w:tblW w:w="9214"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7372"/>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trPr>
        <w:tc>
          <w:tcPr>
            <w:tcW w:w="709"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序号</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投  标  资  料  名  称</w:t>
            </w:r>
          </w:p>
        </w:tc>
        <w:tc>
          <w:tcPr>
            <w:tcW w:w="1133"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b/>
                <w:szCs w:val="21"/>
              </w:rPr>
            </w:pPr>
            <w:r>
              <w:rPr>
                <w:rFonts w:hint="eastAsia" w:ascii="宋体" w:hAnsi="宋体" w:eastAsia="宋体" w:cs="宋体"/>
                <w:b/>
                <w:szCs w:val="21"/>
              </w:rPr>
              <w:t>页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2</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投标函</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3</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法定代表人授权书</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4</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清单分项报价表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5</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偏离表</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6</w:t>
            </w:r>
          </w:p>
        </w:tc>
        <w:tc>
          <w:tcPr>
            <w:tcW w:w="7372"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jc w:val="left"/>
              <w:rPr>
                <w:rFonts w:hint="eastAsia" w:ascii="宋体" w:hAnsi="宋体" w:eastAsia="宋体" w:cs="宋体"/>
                <w:sz w:val="21"/>
                <w:szCs w:val="21"/>
              </w:rPr>
            </w:pPr>
            <w:r>
              <w:rPr>
                <w:rFonts w:hint="eastAsia" w:ascii="宋体" w:hAnsi="宋体" w:eastAsia="宋体" w:cs="宋体"/>
                <w:sz w:val="21"/>
                <w:szCs w:val="21"/>
              </w:rPr>
              <w:t>业绩证明合同复印件</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7</w:t>
            </w:r>
          </w:p>
        </w:tc>
        <w:tc>
          <w:tcPr>
            <w:tcW w:w="737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rPr>
                <w:rFonts w:hint="eastAsia" w:ascii="宋体" w:hAnsi="宋体" w:eastAsia="宋体" w:cs="宋体"/>
                <w:szCs w:val="21"/>
              </w:rPr>
            </w:pPr>
            <w:r>
              <w:rPr>
                <w:rFonts w:hint="eastAsia" w:ascii="宋体" w:hAnsi="宋体" w:eastAsia="宋体" w:cs="宋体"/>
                <w:szCs w:val="21"/>
              </w:rPr>
              <w:t>无不良行为承诺书</w:t>
            </w:r>
          </w:p>
        </w:tc>
        <w:tc>
          <w:tcPr>
            <w:tcW w:w="1133" w:type="dxa"/>
            <w:tcBorders>
              <w:top w:val="single" w:color="auto" w:sz="4" w:space="0"/>
              <w:left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8</w:t>
            </w:r>
          </w:p>
        </w:tc>
        <w:tc>
          <w:tcPr>
            <w:tcW w:w="737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rPr>
                <w:rFonts w:hint="eastAsia" w:ascii="宋体" w:hAnsi="宋体" w:eastAsia="宋体" w:cs="宋体"/>
                <w:szCs w:val="21"/>
              </w:rPr>
            </w:pPr>
            <w:r>
              <w:rPr>
                <w:rFonts w:hint="eastAsia" w:ascii="宋体" w:hAnsi="宋体" w:eastAsia="宋体" w:cs="宋体"/>
                <w:szCs w:val="21"/>
              </w:rPr>
              <w:t>投标人守法诚信承诺书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9</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Cs w:val="21"/>
              </w:rPr>
            </w:pPr>
            <w:r>
              <w:rPr>
                <w:rFonts w:hint="eastAsia" w:ascii="宋体" w:hAnsi="宋体" w:eastAsia="宋体" w:cs="宋体"/>
                <w:szCs w:val="21"/>
              </w:rPr>
              <w:t>中标服务费承诺书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10</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投标保证金退还申请书</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11</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投标人资质证书以及其他资质</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09" w:type="dxa"/>
            <w:tcBorders>
              <w:top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r>
              <w:rPr>
                <w:rFonts w:hint="eastAsia" w:ascii="宋体" w:hAnsi="宋体" w:eastAsia="宋体" w:cs="宋体"/>
                <w:sz w:val="21"/>
                <w:szCs w:val="21"/>
              </w:rPr>
              <w:t>12</w:t>
            </w:r>
          </w:p>
        </w:tc>
        <w:tc>
          <w:tcPr>
            <w:tcW w:w="737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Cs w:val="21"/>
              </w:rPr>
            </w:pPr>
            <w:r>
              <w:rPr>
                <w:rFonts w:hint="eastAsia" w:ascii="宋体" w:hAnsi="宋体" w:eastAsia="宋体" w:cs="宋体"/>
                <w:szCs w:val="21"/>
              </w:rPr>
              <w:t>技术方案及其他资料</w:t>
            </w:r>
          </w:p>
        </w:tc>
        <w:tc>
          <w:tcPr>
            <w:tcW w:w="1133" w:type="dxa"/>
            <w:tcBorders>
              <w:top w:val="single" w:color="auto" w:sz="4" w:space="0"/>
              <w:left w:val="single" w:color="auto" w:sz="4" w:space="0"/>
              <w:bottom w:val="single" w:color="auto" w:sz="4" w:space="0"/>
            </w:tcBorders>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r>
    </w:tbl>
    <w:p>
      <w:pPr>
        <w:adjustRightInd w:val="0"/>
        <w:snapToGrid w:val="0"/>
        <w:spacing w:line="440" w:lineRule="exact"/>
        <w:rPr>
          <w:rFonts w:hint="eastAsia" w:ascii="宋体" w:hAnsi="宋体" w:eastAsia="宋体" w:cs="宋体"/>
          <w:b/>
          <w:szCs w:val="21"/>
        </w:rPr>
      </w:pPr>
    </w:p>
    <w:p>
      <w:pPr>
        <w:adjustRightInd w:val="0"/>
        <w:snapToGrid w:val="0"/>
        <w:spacing w:before="156" w:beforeLines="50"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 xml:space="preserve">   </w:t>
      </w:r>
    </w:p>
    <w:p>
      <w:pPr>
        <w:adjustRightInd w:val="0"/>
        <w:snapToGrid w:val="0"/>
        <w:spacing w:line="400" w:lineRule="atLeast"/>
        <w:ind w:left="-88" w:leftChars="-42"/>
        <w:jc w:val="center"/>
        <w:rPr>
          <w:rFonts w:hint="eastAsia" w:ascii="宋体" w:hAnsi="宋体" w:eastAsia="宋体" w:cs="宋体"/>
          <w:b/>
          <w:bCs/>
          <w:color w:val="000000"/>
          <w:szCs w:val="21"/>
        </w:rPr>
      </w:pPr>
    </w:p>
    <w:p>
      <w:pPr>
        <w:adjustRightInd w:val="0"/>
        <w:snapToGrid w:val="0"/>
        <w:spacing w:before="156" w:beforeLines="50" w:line="360" w:lineRule="auto"/>
        <w:rPr>
          <w:rFonts w:hint="eastAsia" w:ascii="宋体" w:hAnsi="宋体" w:eastAsia="宋体" w:cs="宋体"/>
          <w:color w:val="000000"/>
          <w:szCs w:val="21"/>
        </w:rPr>
        <w:sectPr>
          <w:headerReference r:id="rId10" w:type="default"/>
          <w:footerReference r:id="rId11" w:type="default"/>
          <w:pgSz w:w="11906" w:h="16838"/>
          <w:pgMar w:top="1418" w:right="1418" w:bottom="1418" w:left="1418" w:header="1077"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7"/>
        <w:adjustRightInd w:val="0"/>
        <w:snapToGrid w:val="0"/>
        <w:spacing w:line="400" w:lineRule="atLeast"/>
        <w:jc w:val="center"/>
        <w:rPr>
          <w:rFonts w:hint="eastAsia" w:ascii="宋体" w:hAnsi="宋体" w:eastAsia="宋体" w:cs="宋体"/>
          <w:b/>
          <w:bCs/>
          <w:color w:val="000000"/>
        </w:rPr>
      </w:pPr>
    </w:p>
    <w:p>
      <w:pPr>
        <w:pStyle w:val="7"/>
        <w:adjustRightInd w:val="0"/>
        <w:snapToGrid w:val="0"/>
        <w:spacing w:line="400" w:lineRule="atLeast"/>
        <w:jc w:val="center"/>
        <w:rPr>
          <w:rFonts w:hint="eastAsia" w:ascii="宋体" w:hAnsi="宋体" w:eastAsia="宋体" w:cs="宋体"/>
          <w:b/>
          <w:bCs/>
          <w:color w:val="000000"/>
        </w:rPr>
      </w:pPr>
    </w:p>
    <w:p>
      <w:pPr>
        <w:adjustRightInd w:val="0"/>
        <w:snapToGrid w:val="0"/>
        <w:spacing w:line="400" w:lineRule="atLeast"/>
        <w:jc w:val="center"/>
        <w:rPr>
          <w:rFonts w:hint="eastAsia" w:ascii="宋体" w:hAnsi="宋体" w:eastAsia="宋体" w:cs="宋体"/>
          <w:b/>
          <w:bCs/>
          <w:color w:val="000000"/>
          <w:sz w:val="44"/>
          <w:szCs w:val="44"/>
        </w:rPr>
      </w:pPr>
    </w:p>
    <w:p>
      <w:pPr>
        <w:adjustRightInd w:val="0"/>
        <w:snapToGrid w:val="0"/>
        <w:spacing w:line="400" w:lineRule="atLeast"/>
        <w:jc w:val="center"/>
        <w:rPr>
          <w:rFonts w:hint="eastAsia" w:ascii="宋体" w:hAnsi="宋体" w:eastAsia="宋体" w:cs="宋体"/>
          <w:b/>
          <w:bCs/>
          <w:color w:val="000000"/>
          <w:sz w:val="44"/>
          <w:szCs w:val="44"/>
        </w:rPr>
      </w:pPr>
    </w:p>
    <w:p>
      <w:pPr>
        <w:adjustRightInd w:val="0"/>
        <w:snapToGrid w:val="0"/>
        <w:spacing w:line="400" w:lineRule="atLeas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投 标 文 件</w:t>
      </w:r>
    </w:p>
    <w:p>
      <w:pPr>
        <w:spacing w:before="312" w:beforeLines="100"/>
        <w:jc w:val="center"/>
        <w:rPr>
          <w:rFonts w:hint="eastAsia" w:ascii="宋体" w:hAnsi="宋体" w:eastAsia="宋体" w:cs="宋体"/>
          <w:b/>
          <w:color w:val="000000"/>
          <w:szCs w:val="21"/>
        </w:rPr>
      </w:pPr>
    </w:p>
    <w:p>
      <w:pPr>
        <w:rPr>
          <w:rFonts w:hint="eastAsia" w:ascii="宋体" w:hAnsi="宋体" w:eastAsia="宋体" w:cs="宋体"/>
          <w:color w:val="000000"/>
          <w:szCs w:val="21"/>
        </w:rPr>
      </w:pPr>
    </w:p>
    <w:p>
      <w:pPr>
        <w:pStyle w:val="3"/>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采购项目名称：____________</w:t>
      </w:r>
    </w:p>
    <w:p>
      <w:pPr>
        <w:pStyle w:val="7"/>
        <w:ind w:firstLine="843" w:firstLineChars="350"/>
        <w:rPr>
          <w:rFonts w:hint="eastAsia" w:ascii="宋体" w:hAnsi="宋体" w:eastAsia="宋体" w:cs="宋体"/>
          <w:b/>
          <w:color w:val="000000"/>
          <w:sz w:val="24"/>
          <w:szCs w:val="24"/>
        </w:rPr>
      </w:pPr>
    </w:p>
    <w:p>
      <w:pPr>
        <w:pStyle w:val="7"/>
        <w:ind w:firstLine="843" w:firstLineChars="350"/>
        <w:rPr>
          <w:rFonts w:hint="eastAsia" w:ascii="宋体" w:hAnsi="宋体" w:eastAsia="宋体" w:cs="宋体"/>
          <w:b/>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委托代理编号：____________</w:t>
      </w: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w:t>
      </w:r>
    </w:p>
    <w:p>
      <w:pPr>
        <w:adjustRightInd w:val="0"/>
        <w:snapToGrid w:val="0"/>
        <w:outlineLvl w:val="0"/>
        <w:rPr>
          <w:rFonts w:hint="eastAsia" w:ascii="宋体" w:hAnsi="宋体" w:eastAsia="宋体" w:cs="宋体"/>
          <w:color w:val="000000"/>
          <w:sz w:val="24"/>
          <w:szCs w:val="24"/>
        </w:rPr>
      </w:pPr>
    </w:p>
    <w:p>
      <w:pPr>
        <w:pStyle w:val="7"/>
        <w:ind w:firstLine="843" w:firstLineChars="350"/>
        <w:rPr>
          <w:rFonts w:hint="eastAsia" w:ascii="宋体" w:hAnsi="宋体" w:eastAsia="宋体" w:cs="宋体"/>
          <w:b/>
          <w:color w:val="000000"/>
          <w:sz w:val="24"/>
          <w:szCs w:val="24"/>
        </w:rPr>
      </w:pPr>
      <w:r>
        <w:rPr>
          <w:rFonts w:hint="eastAsia" w:ascii="宋体" w:hAnsi="宋体" w:eastAsia="宋体" w:cs="宋体"/>
          <w:b/>
          <w:bCs/>
          <w:color w:val="000000"/>
          <w:sz w:val="24"/>
          <w:szCs w:val="24"/>
        </w:rPr>
        <w:t>投标人</w:t>
      </w:r>
      <w:r>
        <w:rPr>
          <w:rFonts w:hint="eastAsia" w:ascii="宋体" w:hAnsi="宋体" w:eastAsia="宋体" w:cs="宋体"/>
          <w:color w:val="000000"/>
          <w:sz w:val="24"/>
          <w:szCs w:val="24"/>
        </w:rPr>
        <w:t>：</w:t>
      </w:r>
      <w:r>
        <w:rPr>
          <w:rFonts w:hint="eastAsia" w:ascii="宋体" w:hAnsi="宋体" w:eastAsia="宋体" w:cs="宋体"/>
          <w:b/>
          <w:color w:val="000000"/>
          <w:sz w:val="24"/>
          <w:szCs w:val="24"/>
        </w:rPr>
        <w:t>____________</w:t>
      </w:r>
    </w:p>
    <w:p>
      <w:pPr>
        <w:pStyle w:val="7"/>
        <w:ind w:firstLine="840" w:firstLineChars="350"/>
        <w:rPr>
          <w:rFonts w:hint="eastAsia" w:ascii="宋体" w:hAnsi="宋体" w:eastAsia="宋体" w:cs="宋体"/>
          <w:color w:val="000000"/>
          <w:sz w:val="24"/>
          <w:szCs w:val="24"/>
        </w:rPr>
      </w:pPr>
    </w:p>
    <w:p>
      <w:pPr>
        <w:adjustRightInd w:val="0"/>
        <w:snapToGrid w:val="0"/>
        <w:ind w:firstLine="1200" w:firstLineChars="500"/>
        <w:outlineLvl w:val="0"/>
        <w:rPr>
          <w:rFonts w:hint="eastAsia" w:ascii="宋体" w:hAnsi="宋体" w:eastAsia="宋体" w:cs="宋体"/>
          <w:color w:val="000000"/>
          <w:sz w:val="24"/>
          <w:szCs w:val="24"/>
        </w:rPr>
      </w:pPr>
    </w:p>
    <w:p>
      <w:pPr>
        <w:pStyle w:val="3"/>
        <w:rPr>
          <w:rFonts w:hint="eastAsia" w:ascii="宋体" w:hAnsi="宋体" w:eastAsia="宋体" w:cs="宋体"/>
          <w:color w:val="000000"/>
          <w:sz w:val="24"/>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pStyle w:val="20"/>
        <w:ind w:firstLine="420"/>
        <w:rPr>
          <w:rFonts w:hint="eastAsia" w:ascii="宋体" w:hAnsi="宋体" w:eastAsia="宋体" w:cs="宋体"/>
          <w:color w:val="000000"/>
          <w:szCs w:val="21"/>
        </w:rPr>
      </w:pPr>
    </w:p>
    <w:p>
      <w:pPr>
        <w:adjustRightInd w:val="0"/>
        <w:snapToGrid w:val="0"/>
        <w:ind w:firstLine="1050" w:firstLineChars="500"/>
        <w:outlineLvl w:val="0"/>
        <w:rPr>
          <w:rFonts w:hint="eastAsia" w:ascii="宋体" w:hAnsi="宋体" w:eastAsia="宋体" w:cs="宋体"/>
          <w:color w:val="000000"/>
          <w:szCs w:val="21"/>
        </w:rPr>
      </w:pPr>
    </w:p>
    <w:p>
      <w:pPr>
        <w:pStyle w:val="7"/>
        <w:ind w:firstLine="735" w:firstLineChars="350"/>
        <w:jc w:val="center"/>
        <w:rPr>
          <w:rFonts w:hint="eastAsia" w:ascii="宋体" w:hAnsi="宋体" w:eastAsia="宋体" w:cs="宋体"/>
          <w:color w:val="000000"/>
        </w:rPr>
      </w:pPr>
      <w:r>
        <w:rPr>
          <w:rFonts w:hint="eastAsia" w:ascii="宋体" w:hAnsi="宋体" w:eastAsia="宋体" w:cs="宋体"/>
          <w:color w:val="000000"/>
        </w:rPr>
        <w:t>年  月  日</w:t>
      </w:r>
    </w:p>
    <w:p>
      <w:pPr>
        <w:adjustRightInd w:val="0"/>
        <w:snapToGrid w:val="0"/>
        <w:ind w:firstLine="1050" w:firstLineChars="500"/>
        <w:outlineLvl w:val="0"/>
        <w:rPr>
          <w:rFonts w:hint="eastAsia" w:ascii="宋体" w:hAnsi="宋体" w:eastAsia="宋体" w:cs="宋体"/>
          <w:color w:val="000000"/>
          <w:szCs w:val="21"/>
        </w:rPr>
        <w:sectPr>
          <w:pgSz w:w="11906" w:h="16838"/>
          <w:pgMar w:top="1531" w:right="1531" w:bottom="1531"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440" w:lineRule="exact"/>
        <w:jc w:val="left"/>
        <w:rPr>
          <w:rFonts w:hint="eastAsia" w:ascii="宋体" w:hAnsi="宋体" w:eastAsia="宋体" w:cs="宋体"/>
          <w:b/>
          <w:spacing w:val="4"/>
          <w:szCs w:val="21"/>
        </w:rPr>
      </w:pPr>
      <w:r>
        <w:rPr>
          <w:rFonts w:hint="eastAsia" w:ascii="宋体" w:hAnsi="宋体" w:eastAsia="宋体" w:cs="宋体"/>
          <w:b/>
          <w:szCs w:val="21"/>
        </w:rPr>
        <w:t>附件</w:t>
      </w:r>
      <w:r>
        <w:rPr>
          <w:rFonts w:hint="eastAsia" w:ascii="宋体" w:hAnsi="宋体" w:eastAsia="宋体" w:cs="宋体"/>
          <w:b/>
          <w:bCs/>
          <w:szCs w:val="21"/>
        </w:rPr>
        <w:t>1</w:t>
      </w:r>
    </w:p>
    <w:p>
      <w:pPr>
        <w:pStyle w:val="5"/>
        <w:spacing w:line="440" w:lineRule="exact"/>
        <w:jc w:val="center"/>
        <w:rPr>
          <w:rFonts w:hint="eastAsia" w:ascii="宋体" w:hAnsi="宋体" w:eastAsia="宋体" w:cs="宋体"/>
          <w:bCs w:val="0"/>
          <w:spacing w:val="4"/>
          <w:sz w:val="28"/>
          <w:szCs w:val="28"/>
        </w:rPr>
      </w:pPr>
      <w:r>
        <w:rPr>
          <w:rFonts w:hint="eastAsia" w:ascii="宋体" w:hAnsi="宋体" w:eastAsia="宋体" w:cs="宋体"/>
          <w:bCs w:val="0"/>
          <w:sz w:val="28"/>
          <w:szCs w:val="28"/>
        </w:rPr>
        <w:t>开标一览表</w:t>
      </w:r>
    </w:p>
    <w:p>
      <w:pPr>
        <w:pStyle w:val="3"/>
        <w:spacing w:line="440" w:lineRule="exact"/>
        <w:rPr>
          <w:rFonts w:hint="eastAsia" w:ascii="宋体" w:hAnsi="宋体" w:eastAsia="宋体" w:cs="宋体"/>
          <w:szCs w:val="21"/>
        </w:rPr>
      </w:pPr>
      <w:r>
        <w:rPr>
          <w:rFonts w:hint="eastAsia" w:ascii="宋体" w:hAnsi="宋体" w:eastAsia="宋体" w:cs="宋体"/>
          <w:szCs w:val="21"/>
        </w:rPr>
        <w:t>投标人名称：________________________</w:t>
      </w:r>
    </w:p>
    <w:p>
      <w:pPr>
        <w:pStyle w:val="3"/>
        <w:spacing w:line="440" w:lineRule="exact"/>
        <w:rPr>
          <w:rFonts w:hint="eastAsia" w:ascii="宋体" w:hAnsi="宋体" w:eastAsia="宋体" w:cs="宋体"/>
          <w:szCs w:val="21"/>
          <w:u w:val="single"/>
        </w:rPr>
      </w:pPr>
      <w:r>
        <w:rPr>
          <w:rFonts w:hint="eastAsia" w:ascii="宋体" w:hAnsi="宋体" w:eastAsia="宋体" w:cs="宋体"/>
          <w:szCs w:val="21"/>
        </w:rPr>
        <w:t>招标项目名称：</w:t>
      </w:r>
    </w:p>
    <w:p>
      <w:pPr>
        <w:pStyle w:val="3"/>
        <w:spacing w:line="440" w:lineRule="exact"/>
        <w:rPr>
          <w:rFonts w:hint="eastAsia" w:ascii="宋体" w:hAnsi="宋体" w:eastAsia="宋体" w:cs="宋体"/>
          <w:szCs w:val="21"/>
          <w:u w:val="single"/>
        </w:rPr>
      </w:pPr>
      <w:r>
        <w:rPr>
          <w:rFonts w:hint="eastAsia" w:ascii="宋体" w:hAnsi="宋体" w:eastAsia="宋体" w:cs="宋体"/>
          <w:spacing w:val="28"/>
          <w:szCs w:val="21"/>
        </w:rPr>
        <w:t>招标编号</w:t>
      </w:r>
      <w:r>
        <w:rPr>
          <w:rFonts w:hint="eastAsia" w:ascii="宋体" w:hAnsi="宋体" w:eastAsia="宋体" w:cs="宋体"/>
          <w:szCs w:val="21"/>
        </w:rPr>
        <w:t>：________________________               货币计量单位：</w:t>
      </w:r>
      <w:r>
        <w:rPr>
          <w:rFonts w:hint="eastAsia" w:ascii="宋体" w:hAnsi="宋体" w:eastAsia="宋体" w:cs="宋体"/>
          <w:szCs w:val="21"/>
          <w:u w:val="single"/>
        </w:rPr>
        <w:t>元人民币</w:t>
      </w:r>
    </w:p>
    <w:tbl>
      <w:tblPr>
        <w:tblStyle w:val="15"/>
        <w:tblW w:w="9639" w:type="dxa"/>
        <w:tblInd w:w="108" w:type="dxa"/>
        <w:tblLayout w:type="fixed"/>
        <w:tblCellMar>
          <w:top w:w="0" w:type="dxa"/>
          <w:left w:w="108" w:type="dxa"/>
          <w:bottom w:w="0" w:type="dxa"/>
          <w:right w:w="108" w:type="dxa"/>
        </w:tblCellMar>
      </w:tblPr>
      <w:tblGrid>
        <w:gridCol w:w="851"/>
        <w:gridCol w:w="2410"/>
        <w:gridCol w:w="4643"/>
        <w:gridCol w:w="1735"/>
      </w:tblGrid>
      <w:tr>
        <w:tblPrEx>
          <w:tblCellMar>
            <w:top w:w="0" w:type="dxa"/>
            <w:left w:w="108" w:type="dxa"/>
            <w:bottom w:w="0" w:type="dxa"/>
            <w:right w:w="108" w:type="dxa"/>
          </w:tblCellMar>
        </w:tblPrEx>
        <w:trPr>
          <w:trHeight w:val="102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序号</w:t>
            </w:r>
          </w:p>
        </w:tc>
        <w:tc>
          <w:tcPr>
            <w:tcW w:w="24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项目名称</w:t>
            </w:r>
          </w:p>
        </w:tc>
        <w:tc>
          <w:tcPr>
            <w:tcW w:w="4643"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投标报价</w:t>
            </w:r>
          </w:p>
        </w:tc>
        <w:tc>
          <w:tcPr>
            <w:tcW w:w="173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b/>
                <w:bCs/>
                <w:kern w:val="0"/>
                <w:szCs w:val="21"/>
              </w:rPr>
            </w:pPr>
            <w:r>
              <w:rPr>
                <w:rFonts w:hint="eastAsia" w:ascii="宋体" w:hAnsi="宋体" w:eastAsia="宋体" w:cs="宋体"/>
                <w:b/>
                <w:bCs/>
                <w:kern w:val="0"/>
                <w:szCs w:val="21"/>
              </w:rPr>
              <w:t>工期</w:t>
            </w:r>
          </w:p>
        </w:tc>
      </w:tr>
      <w:tr>
        <w:tblPrEx>
          <w:tblCellMar>
            <w:top w:w="0" w:type="dxa"/>
            <w:left w:w="108" w:type="dxa"/>
            <w:bottom w:w="0" w:type="dxa"/>
            <w:right w:w="108" w:type="dxa"/>
          </w:tblCellMar>
        </w:tblPrEx>
        <w:trPr>
          <w:trHeight w:val="1417" w:hRule="atLeast"/>
        </w:trPr>
        <w:tc>
          <w:tcPr>
            <w:tcW w:w="851"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宋体"/>
                <w:b/>
                <w:bCs/>
                <w:kern w:val="0"/>
                <w:szCs w:val="21"/>
              </w:rPr>
            </w:pPr>
            <w:r>
              <w:rPr>
                <w:rFonts w:hint="eastAsia" w:ascii="宋体" w:hAnsi="宋体" w:eastAsia="宋体" w:cs="宋体"/>
                <w:b/>
                <w:bCs/>
                <w:kern w:val="0"/>
                <w:szCs w:val="21"/>
              </w:rPr>
              <w:t>1</w:t>
            </w:r>
          </w:p>
        </w:tc>
        <w:tc>
          <w:tcPr>
            <w:tcW w:w="2410" w:type="dxa"/>
            <w:tcBorders>
              <w:top w:val="nil"/>
              <w:left w:val="nil"/>
              <w:bottom w:val="single" w:color="auto" w:sz="4" w:space="0"/>
              <w:right w:val="single" w:color="auto" w:sz="4" w:space="0"/>
            </w:tcBorders>
            <w:vAlign w:val="center"/>
          </w:tcPr>
          <w:p>
            <w:pPr>
              <w:spacing w:line="240" w:lineRule="atLeast"/>
              <w:jc w:val="center"/>
              <w:rPr>
                <w:rFonts w:hint="eastAsia" w:ascii="宋体" w:hAnsi="宋体" w:eastAsia="宋体" w:cs="宋体"/>
                <w:b/>
                <w:bCs/>
                <w:kern w:val="0"/>
                <w:szCs w:val="21"/>
              </w:rPr>
            </w:pPr>
          </w:p>
        </w:tc>
        <w:tc>
          <w:tcPr>
            <w:tcW w:w="4643" w:type="dxa"/>
            <w:tcBorders>
              <w:top w:val="nil"/>
              <w:left w:val="nil"/>
              <w:bottom w:val="single" w:color="auto" w:sz="4" w:space="0"/>
              <w:right w:val="single" w:color="auto" w:sz="2" w:space="0"/>
            </w:tcBorders>
            <w:vAlign w:val="center"/>
          </w:tcPr>
          <w:p>
            <w:pPr>
              <w:spacing w:line="240" w:lineRule="atLeast"/>
              <w:jc w:val="center"/>
              <w:rPr>
                <w:rFonts w:hint="eastAsia" w:ascii="宋体" w:hAnsi="宋体" w:eastAsia="宋体" w:cs="宋体"/>
                <w:b/>
                <w:bCs/>
                <w:kern w:val="0"/>
                <w:szCs w:val="21"/>
              </w:rPr>
            </w:pPr>
          </w:p>
        </w:tc>
        <w:tc>
          <w:tcPr>
            <w:tcW w:w="1735" w:type="dxa"/>
            <w:tcBorders>
              <w:top w:val="nil"/>
              <w:left w:val="single" w:color="auto" w:sz="4" w:space="0"/>
              <w:bottom w:val="single" w:color="auto" w:sz="4" w:space="0"/>
              <w:right w:val="single" w:color="auto" w:sz="2" w:space="0"/>
            </w:tcBorders>
            <w:vAlign w:val="center"/>
          </w:tcPr>
          <w:p>
            <w:pPr>
              <w:spacing w:line="240" w:lineRule="atLeast"/>
              <w:jc w:val="center"/>
              <w:rPr>
                <w:rFonts w:hint="eastAsia" w:ascii="宋体" w:hAnsi="宋体" w:eastAsia="宋体" w:cs="宋体"/>
                <w:b/>
                <w:bCs/>
                <w:kern w:val="0"/>
                <w:szCs w:val="21"/>
              </w:rPr>
            </w:pPr>
          </w:p>
        </w:tc>
      </w:tr>
    </w:tbl>
    <w:p>
      <w:pPr>
        <w:spacing w:line="440" w:lineRule="exact"/>
        <w:ind w:right="97" w:rightChars="46"/>
        <w:rPr>
          <w:rFonts w:hint="eastAsia" w:ascii="宋体" w:hAnsi="宋体" w:eastAsia="宋体" w:cs="宋体"/>
          <w:szCs w:val="21"/>
        </w:rPr>
      </w:pPr>
      <w:r>
        <w:rPr>
          <w:rFonts w:hint="eastAsia" w:ascii="宋体" w:hAnsi="宋体" w:eastAsia="宋体" w:cs="宋体"/>
          <w:szCs w:val="21"/>
        </w:rPr>
        <w:t>投标单位：（盖章）</w:t>
      </w:r>
    </w:p>
    <w:p>
      <w:pPr>
        <w:pStyle w:val="3"/>
        <w:spacing w:line="440" w:lineRule="exact"/>
        <w:rPr>
          <w:rFonts w:hint="eastAsia" w:ascii="宋体" w:hAnsi="宋体" w:eastAsia="宋体" w:cs="宋体"/>
          <w:szCs w:val="21"/>
        </w:rPr>
      </w:pPr>
      <w:r>
        <w:rPr>
          <w:rFonts w:hint="eastAsia" w:ascii="宋体" w:hAnsi="宋体" w:eastAsia="宋体" w:cs="宋体"/>
          <w:szCs w:val="21"/>
        </w:rPr>
        <w:t>法定代表人或授权委托代理人：（签字或盖章）</w:t>
      </w:r>
    </w:p>
    <w:p>
      <w:pPr>
        <w:pStyle w:val="3"/>
        <w:spacing w:line="440" w:lineRule="exact"/>
        <w:ind w:firstLine="1680" w:firstLineChars="800"/>
        <w:rPr>
          <w:rFonts w:hint="eastAsia" w:ascii="宋体" w:hAnsi="宋体" w:eastAsia="宋体" w:cs="宋体"/>
          <w:szCs w:val="21"/>
        </w:rPr>
      </w:pPr>
      <w:r>
        <w:rPr>
          <w:rFonts w:hint="eastAsia" w:ascii="宋体" w:hAnsi="宋体" w:eastAsia="宋体" w:cs="宋体"/>
          <w:szCs w:val="21"/>
        </w:rPr>
        <w:t>年      月     日</w:t>
      </w:r>
    </w:p>
    <w:p>
      <w:pPr>
        <w:spacing w:line="440" w:lineRule="exact"/>
        <w:jc w:val="left"/>
        <w:rPr>
          <w:rFonts w:hint="eastAsia" w:ascii="宋体" w:hAnsi="宋体" w:eastAsia="宋体" w:cs="宋体"/>
          <w:b/>
          <w:szCs w:val="21"/>
        </w:rPr>
      </w:pPr>
      <w:r>
        <w:rPr>
          <w:rFonts w:hint="eastAsia" w:ascii="宋体" w:hAnsi="宋体" w:eastAsia="宋体" w:cs="宋体"/>
          <w:b/>
          <w:szCs w:val="21"/>
        </w:rPr>
        <w:t>注：</w:t>
      </w:r>
    </w:p>
    <w:p>
      <w:pPr>
        <w:spacing w:line="440" w:lineRule="exact"/>
        <w:jc w:val="left"/>
        <w:rPr>
          <w:rFonts w:hint="eastAsia" w:ascii="宋体" w:hAnsi="宋体" w:eastAsia="宋体" w:cs="宋体"/>
          <w:b/>
          <w:szCs w:val="21"/>
        </w:rPr>
      </w:pPr>
      <w:r>
        <w:rPr>
          <w:rFonts w:hint="eastAsia" w:ascii="宋体" w:hAnsi="宋体" w:eastAsia="宋体" w:cs="宋体"/>
          <w:b/>
          <w:szCs w:val="21"/>
        </w:rPr>
        <w:t>★2、投标人应严格按该表的格式和内容填写，如有错报、漏报，招标人将否决其投标。</w:t>
      </w:r>
    </w:p>
    <w:p>
      <w:pPr>
        <w:spacing w:line="440" w:lineRule="exact"/>
        <w:jc w:val="left"/>
        <w:rPr>
          <w:rFonts w:hint="eastAsia" w:ascii="宋体" w:hAnsi="宋体" w:eastAsia="宋体" w:cs="宋体"/>
          <w:b/>
          <w:szCs w:val="21"/>
        </w:rPr>
      </w:pPr>
    </w:p>
    <w:p>
      <w:pPr>
        <w:pStyle w:val="5"/>
        <w:spacing w:line="440" w:lineRule="exact"/>
        <w:jc w:val="center"/>
        <w:rPr>
          <w:rFonts w:hint="eastAsia" w:ascii="宋体" w:hAnsi="宋体" w:eastAsia="宋体" w:cs="宋体"/>
          <w:b w:val="0"/>
          <w:sz w:val="21"/>
          <w:szCs w:val="21"/>
        </w:rPr>
      </w:pPr>
      <w:r>
        <w:rPr>
          <w:rFonts w:hint="eastAsia" w:ascii="宋体" w:hAnsi="宋体" w:eastAsia="宋体" w:cs="宋体"/>
          <w:sz w:val="21"/>
          <w:szCs w:val="21"/>
        </w:rPr>
        <w:br w:type="page"/>
      </w:r>
    </w:p>
    <w:p>
      <w:pPr>
        <w:autoSpaceDE w:val="0"/>
        <w:autoSpaceDN w:val="0"/>
        <w:adjustRightInd w:val="0"/>
        <w:spacing w:line="440" w:lineRule="exact"/>
        <w:jc w:val="left"/>
        <w:rPr>
          <w:rFonts w:hint="eastAsia" w:ascii="宋体" w:hAnsi="宋体" w:eastAsia="宋体" w:cs="宋体"/>
          <w:b/>
          <w:szCs w:val="21"/>
        </w:rPr>
      </w:pPr>
      <w:r>
        <w:rPr>
          <w:rFonts w:hint="eastAsia" w:ascii="宋体" w:hAnsi="宋体" w:eastAsia="宋体" w:cs="宋体"/>
          <w:b/>
          <w:szCs w:val="21"/>
        </w:rPr>
        <w:t>附件2</w:t>
      </w:r>
    </w:p>
    <w:p>
      <w:pPr>
        <w:pStyle w:val="5"/>
        <w:spacing w:line="440" w:lineRule="exact"/>
        <w:jc w:val="center"/>
        <w:rPr>
          <w:rFonts w:hint="eastAsia" w:ascii="宋体" w:hAnsi="宋体" w:eastAsia="宋体" w:cs="宋体"/>
          <w:sz w:val="28"/>
          <w:szCs w:val="28"/>
        </w:rPr>
      </w:pPr>
      <w:r>
        <w:rPr>
          <w:rFonts w:hint="eastAsia" w:ascii="宋体" w:hAnsi="宋体" w:eastAsia="宋体" w:cs="宋体"/>
          <w:sz w:val="28"/>
          <w:szCs w:val="28"/>
        </w:rPr>
        <w:t>投 标 函</w:t>
      </w:r>
    </w:p>
    <w:p>
      <w:pPr>
        <w:spacing w:line="440" w:lineRule="exact"/>
        <w:ind w:right="71"/>
        <w:rPr>
          <w:rFonts w:hint="eastAsia" w:ascii="宋体" w:hAnsi="宋体" w:eastAsia="宋体" w:cs="宋体"/>
          <w:spacing w:val="4"/>
          <w:szCs w:val="21"/>
        </w:rPr>
      </w:pPr>
      <w:r>
        <w:rPr>
          <w:rFonts w:hint="eastAsia" w:ascii="宋体" w:hAnsi="宋体" w:eastAsia="宋体" w:cs="宋体"/>
          <w:spacing w:val="4"/>
          <w:szCs w:val="21"/>
        </w:rPr>
        <w:t>致：</w:t>
      </w:r>
      <w:r>
        <w:rPr>
          <w:rFonts w:hint="eastAsia" w:ascii="宋体" w:hAnsi="宋体" w:eastAsia="宋体" w:cs="宋体"/>
          <w:szCs w:val="21"/>
        </w:rPr>
        <w:t>湖南中昌新能源有限公司</w:t>
      </w:r>
    </w:p>
    <w:p>
      <w:pPr>
        <w:spacing w:line="440" w:lineRule="exact"/>
        <w:ind w:right="71" w:firstLine="600"/>
        <w:rPr>
          <w:rFonts w:hint="eastAsia" w:ascii="宋体" w:hAnsi="宋体" w:eastAsia="宋体" w:cs="宋体"/>
          <w:spacing w:val="4"/>
          <w:szCs w:val="21"/>
        </w:rPr>
      </w:pPr>
      <w:r>
        <w:rPr>
          <w:rFonts w:hint="eastAsia" w:ascii="宋体" w:hAnsi="宋体" w:eastAsia="宋体" w:cs="宋体"/>
          <w:spacing w:val="4"/>
          <w:szCs w:val="21"/>
        </w:rPr>
        <w:t>根据贵方项目（招标编号：）的投标邀请，签字代表（姓名、职务）经正式授权并代表投标人</w:t>
      </w:r>
    </w:p>
    <w:p>
      <w:pPr>
        <w:spacing w:line="440" w:lineRule="exact"/>
        <w:ind w:right="71"/>
        <w:rPr>
          <w:rFonts w:hint="eastAsia" w:ascii="宋体" w:hAnsi="宋体" w:eastAsia="宋体" w:cs="宋体"/>
          <w:spacing w:val="4"/>
          <w:szCs w:val="21"/>
        </w:rPr>
      </w:pPr>
      <w:r>
        <w:rPr>
          <w:rFonts w:hint="eastAsia" w:ascii="宋体" w:hAnsi="宋体" w:eastAsia="宋体" w:cs="宋体"/>
          <w:spacing w:val="4"/>
          <w:szCs w:val="21"/>
        </w:rPr>
        <w:t>（投标人名称、地址）提交下列文件正本一份、副本</w:t>
      </w:r>
      <w:r>
        <w:rPr>
          <w:rFonts w:hint="eastAsia" w:ascii="宋体" w:hAnsi="宋体" w:eastAsia="宋体" w:cs="宋体"/>
          <w:spacing w:val="4"/>
          <w:szCs w:val="21"/>
          <w:u w:val="single"/>
        </w:rPr>
        <w:t>贰</w:t>
      </w:r>
      <w:r>
        <w:rPr>
          <w:rFonts w:hint="eastAsia" w:ascii="宋体" w:hAnsi="宋体" w:eastAsia="宋体" w:cs="宋体"/>
          <w:spacing w:val="4"/>
          <w:szCs w:val="21"/>
        </w:rPr>
        <w:t>份、电子U盘一份：</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szCs w:val="21"/>
        </w:rPr>
        <w:t>开标一览表</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szCs w:val="21"/>
        </w:rPr>
        <w:t>投标函</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szCs w:val="21"/>
        </w:rPr>
        <w:t>法定代表人授权书</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kern w:val="0"/>
          <w:szCs w:val="21"/>
        </w:rPr>
        <w:t>4</w:t>
      </w:r>
      <w:r>
        <w:rPr>
          <w:rFonts w:hint="eastAsia" w:ascii="宋体" w:hAnsi="宋体" w:eastAsia="宋体" w:cs="宋体"/>
          <w:szCs w:val="21"/>
        </w:rPr>
        <w:t>、清单分项报价表</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kern w:val="0"/>
          <w:szCs w:val="21"/>
        </w:rPr>
        <w:t>5、</w:t>
      </w:r>
      <w:r>
        <w:rPr>
          <w:rFonts w:hint="eastAsia" w:ascii="宋体" w:hAnsi="宋体" w:eastAsia="宋体" w:cs="宋体"/>
          <w:szCs w:val="21"/>
        </w:rPr>
        <w:t>偏离表</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6、业绩证明合同复印件</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7、无不良行为承诺书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8、投标人守法诚信承诺书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9、中标服务费承诺书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10、投标保证金退还申请书</w:t>
      </w:r>
    </w:p>
    <w:p>
      <w:pPr>
        <w:autoSpaceDE w:val="0"/>
        <w:autoSpaceDN w:val="0"/>
        <w:adjustRightInd w:val="0"/>
        <w:spacing w:line="440" w:lineRule="exact"/>
        <w:ind w:left="540" w:leftChars="257"/>
        <w:jc w:val="left"/>
        <w:rPr>
          <w:rFonts w:hint="eastAsia" w:ascii="宋体" w:hAnsi="宋体" w:eastAsia="宋体" w:cs="宋体"/>
          <w:szCs w:val="21"/>
        </w:rPr>
      </w:pPr>
      <w:r>
        <w:rPr>
          <w:rFonts w:hint="eastAsia" w:ascii="宋体" w:hAnsi="宋体" w:eastAsia="宋体" w:cs="宋体"/>
          <w:szCs w:val="21"/>
        </w:rPr>
        <w:t>11、投标人资质证书以及其他资质</w:t>
      </w:r>
    </w:p>
    <w:p>
      <w:pPr>
        <w:autoSpaceDE w:val="0"/>
        <w:autoSpaceDN w:val="0"/>
        <w:adjustRightInd w:val="0"/>
        <w:spacing w:line="440" w:lineRule="exact"/>
        <w:ind w:left="540" w:leftChars="257"/>
        <w:jc w:val="left"/>
        <w:rPr>
          <w:rFonts w:hint="eastAsia" w:ascii="宋体" w:hAnsi="宋体" w:eastAsia="宋体" w:cs="宋体"/>
          <w:kern w:val="0"/>
          <w:szCs w:val="21"/>
        </w:rPr>
      </w:pPr>
      <w:r>
        <w:rPr>
          <w:rFonts w:hint="eastAsia" w:ascii="宋体" w:hAnsi="宋体" w:eastAsia="宋体" w:cs="宋体"/>
          <w:szCs w:val="21"/>
        </w:rPr>
        <w:t>12、技术方案及其他资料</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在此，签字代表声明如下：</w:t>
      </w:r>
    </w:p>
    <w:p>
      <w:pPr>
        <w:spacing w:line="440" w:lineRule="exact"/>
        <w:ind w:right="71" w:firstLine="436" w:firstLineChars="200"/>
        <w:rPr>
          <w:rFonts w:hint="eastAsia" w:ascii="宋体" w:hAnsi="宋体" w:eastAsia="宋体" w:cs="宋体"/>
          <w:szCs w:val="21"/>
        </w:rPr>
      </w:pPr>
      <w:r>
        <w:rPr>
          <w:rFonts w:hint="eastAsia" w:ascii="宋体" w:hAnsi="宋体" w:eastAsia="宋体" w:cs="宋体"/>
          <w:spacing w:val="4"/>
          <w:szCs w:val="21"/>
        </w:rPr>
        <w:t>1、</w:t>
      </w:r>
      <w:r>
        <w:rPr>
          <w:rFonts w:hint="eastAsia" w:ascii="宋体" w:hAnsi="宋体" w:eastAsia="宋体" w:cs="宋体"/>
          <w:szCs w:val="21"/>
        </w:rPr>
        <w:t>根据《</w:t>
      </w:r>
      <w:r>
        <w:rPr>
          <w:rFonts w:hint="eastAsia" w:ascii="宋体" w:hAnsi="宋体" w:eastAsia="宋体" w:cs="宋体"/>
          <w:szCs w:val="21"/>
          <w:u w:val="single"/>
        </w:rPr>
        <w:t xml:space="preserve">   （项目名称）   </w:t>
      </w:r>
      <w:r>
        <w:rPr>
          <w:rFonts w:hint="eastAsia" w:ascii="宋体" w:hAnsi="宋体" w:eastAsia="宋体" w:cs="宋体"/>
          <w:szCs w:val="21"/>
        </w:rPr>
        <w:t>》的招标文件，我方审核报价为：（小写），（大写）承接此项目。</w:t>
      </w:r>
    </w:p>
    <w:p>
      <w:pPr>
        <w:spacing w:line="440" w:lineRule="exact"/>
        <w:ind w:right="71" w:firstLine="436" w:firstLineChars="200"/>
        <w:rPr>
          <w:rFonts w:hint="eastAsia" w:ascii="宋体" w:hAnsi="宋体" w:eastAsia="宋体" w:cs="宋体"/>
          <w:kern w:val="0"/>
          <w:szCs w:val="21"/>
        </w:rPr>
      </w:pPr>
      <w:r>
        <w:rPr>
          <w:rFonts w:hint="eastAsia" w:ascii="宋体" w:hAnsi="宋体" w:eastAsia="宋体" w:cs="宋体"/>
          <w:spacing w:val="4"/>
          <w:szCs w:val="21"/>
        </w:rPr>
        <w:t>2、</w:t>
      </w:r>
      <w:r>
        <w:rPr>
          <w:rFonts w:hint="eastAsia" w:ascii="宋体" w:hAnsi="宋体" w:eastAsia="宋体" w:cs="宋体"/>
          <w:kern w:val="0"/>
          <w:szCs w:val="21"/>
        </w:rPr>
        <w:t>投标人已详细审查全部招标文件，包括第[插入编号] [补遗书][如果有的话]。我们完全理解并同意放弃对这方面有不明及误解的权力。</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3、本投标有效期为自开标之日起</w:t>
      </w:r>
      <w:r>
        <w:rPr>
          <w:rFonts w:hint="eastAsia" w:ascii="宋体" w:hAnsi="宋体" w:eastAsia="宋体" w:cs="宋体"/>
          <w:spacing w:val="4"/>
          <w:szCs w:val="21"/>
          <w:u w:val="single"/>
        </w:rPr>
        <w:t>90</w:t>
      </w:r>
      <w:r>
        <w:rPr>
          <w:rFonts w:hint="eastAsia" w:ascii="宋体" w:hAnsi="宋体" w:eastAsia="宋体" w:cs="宋体"/>
          <w:spacing w:val="4"/>
          <w:szCs w:val="21"/>
        </w:rPr>
        <w:t>日。</w:t>
      </w:r>
    </w:p>
    <w:p>
      <w:pPr>
        <w:spacing w:line="440" w:lineRule="exact"/>
        <w:ind w:right="71" w:firstLine="436" w:firstLineChars="200"/>
        <w:rPr>
          <w:rFonts w:hint="eastAsia" w:ascii="宋体" w:hAnsi="宋体" w:eastAsia="宋体" w:cs="宋体"/>
          <w:spacing w:val="4"/>
          <w:szCs w:val="21"/>
        </w:rPr>
      </w:pPr>
      <w:r>
        <w:rPr>
          <w:rFonts w:hint="eastAsia" w:ascii="宋体" w:hAnsi="宋体" w:eastAsia="宋体" w:cs="宋体"/>
          <w:spacing w:val="4"/>
          <w:szCs w:val="21"/>
        </w:rPr>
        <w:t>4、</w:t>
      </w:r>
      <w:r>
        <w:rPr>
          <w:rFonts w:hint="eastAsia" w:ascii="宋体" w:hAnsi="宋体" w:eastAsia="宋体" w:cs="宋体"/>
          <w:kern w:val="0"/>
          <w:szCs w:val="21"/>
        </w:rPr>
        <w:t>如果在规定的开标时间后，投标人在投标有效期内撤回投标，其投标保证金将被贵方没收。</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5、根据相关法律法规的规定，我方承诺，与招标人聘请的为此项目提供技术规格和其他文件、咨询服务的公司及任何附属机构均无关联，我方不是甲方的附属机构。</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6、同意提供按照贵方可能要求的与其投标有关的一切数据或资料，完全理解贵方不一定接受最低价的投标或收到的任何投标。</w:t>
      </w:r>
    </w:p>
    <w:p>
      <w:pPr>
        <w:autoSpaceDE w:val="0"/>
        <w:autoSpaceDN w:val="0"/>
        <w:adjustRightInd w:val="0"/>
        <w:spacing w:line="440" w:lineRule="exact"/>
        <w:ind w:firstLine="315" w:firstLineChars="150"/>
        <w:jc w:val="left"/>
        <w:rPr>
          <w:rFonts w:hint="eastAsia" w:ascii="宋体" w:hAnsi="宋体" w:eastAsia="宋体" w:cs="宋体"/>
          <w:kern w:val="0"/>
          <w:szCs w:val="21"/>
        </w:rPr>
      </w:pPr>
      <w:r>
        <w:rPr>
          <w:rFonts w:hint="eastAsia" w:ascii="宋体" w:hAnsi="宋体" w:eastAsia="宋体" w:cs="宋体"/>
          <w:kern w:val="0"/>
          <w:szCs w:val="21"/>
        </w:rPr>
        <w:t>7、与本投标有关的一切正式往来信函请寄：</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地址：</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电话：</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传真：</w:t>
      </w:r>
    </w:p>
    <w:p>
      <w:pPr>
        <w:autoSpaceDE w:val="0"/>
        <w:autoSpaceDN w:val="0"/>
        <w:adjustRightIn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电子邮件：</w:t>
      </w:r>
    </w:p>
    <w:p>
      <w:pPr>
        <w:spacing w:line="440" w:lineRule="exact"/>
        <w:ind w:right="97" w:rightChars="46"/>
        <w:rPr>
          <w:rFonts w:hint="eastAsia" w:ascii="宋体" w:hAnsi="宋体" w:eastAsia="宋体" w:cs="宋体"/>
          <w:szCs w:val="21"/>
        </w:rPr>
      </w:pPr>
    </w:p>
    <w:p>
      <w:pPr>
        <w:spacing w:line="440" w:lineRule="exact"/>
        <w:ind w:right="97" w:rightChars="46"/>
        <w:rPr>
          <w:rFonts w:hint="eastAsia" w:ascii="宋体" w:hAnsi="宋体" w:eastAsia="宋体" w:cs="宋体"/>
          <w:szCs w:val="21"/>
        </w:rPr>
      </w:pPr>
      <w:r>
        <w:rPr>
          <w:rFonts w:hint="eastAsia" w:ascii="宋体" w:hAnsi="宋体" w:eastAsia="宋体" w:cs="宋体"/>
          <w:szCs w:val="21"/>
        </w:rPr>
        <w:t>投标单位：（盖章）</w:t>
      </w:r>
    </w:p>
    <w:p>
      <w:pPr>
        <w:spacing w:line="440" w:lineRule="exact"/>
        <w:rPr>
          <w:rFonts w:hint="eastAsia" w:ascii="宋体" w:hAnsi="宋体" w:eastAsia="宋体" w:cs="宋体"/>
          <w:szCs w:val="21"/>
        </w:rPr>
      </w:pPr>
      <w:r>
        <w:rPr>
          <w:rFonts w:hint="eastAsia" w:ascii="宋体" w:hAnsi="宋体" w:eastAsia="宋体" w:cs="宋体"/>
          <w:szCs w:val="21"/>
        </w:rPr>
        <w:t>法定代表人或授权委托代理人：（签字或盖章）</w:t>
      </w:r>
    </w:p>
    <w:p>
      <w:pPr>
        <w:spacing w:line="440" w:lineRule="exact"/>
        <w:jc w:val="left"/>
        <w:rPr>
          <w:rFonts w:hint="eastAsia" w:ascii="宋体" w:hAnsi="宋体" w:eastAsia="宋体" w:cs="宋体"/>
          <w:szCs w:val="21"/>
        </w:rPr>
      </w:pPr>
      <w:r>
        <w:rPr>
          <w:rFonts w:hint="eastAsia" w:ascii="宋体" w:hAnsi="宋体" w:eastAsia="宋体" w:cs="宋体"/>
          <w:szCs w:val="21"/>
        </w:rPr>
        <w:br w:type="page"/>
      </w:r>
    </w:p>
    <w:p>
      <w:pPr>
        <w:spacing w:line="440" w:lineRule="exact"/>
        <w:jc w:val="left"/>
        <w:rPr>
          <w:rFonts w:hint="eastAsia" w:ascii="宋体" w:hAnsi="宋体" w:eastAsia="宋体" w:cs="宋体"/>
          <w:b/>
          <w:szCs w:val="21"/>
        </w:rPr>
      </w:pPr>
      <w:r>
        <w:rPr>
          <w:rFonts w:hint="eastAsia" w:ascii="宋体" w:hAnsi="宋体" w:eastAsia="宋体" w:cs="宋体"/>
          <w:b/>
          <w:szCs w:val="21"/>
        </w:rPr>
        <w:t>附件3</w:t>
      </w:r>
    </w:p>
    <w:p>
      <w:pPr>
        <w:pStyle w:val="5"/>
        <w:spacing w:line="440" w:lineRule="exact"/>
        <w:jc w:val="center"/>
        <w:rPr>
          <w:rFonts w:hint="eastAsia" w:ascii="宋体" w:hAnsi="宋体" w:eastAsia="宋体" w:cs="宋体"/>
          <w:sz w:val="28"/>
          <w:szCs w:val="28"/>
        </w:rPr>
      </w:pPr>
      <w:r>
        <w:rPr>
          <w:rFonts w:hint="eastAsia" w:ascii="宋体" w:hAnsi="宋体" w:eastAsia="宋体" w:cs="宋体"/>
          <w:sz w:val="28"/>
          <w:szCs w:val="28"/>
        </w:rPr>
        <w:t>法定代表人授权书</w:t>
      </w:r>
    </w:p>
    <w:p>
      <w:pPr>
        <w:spacing w:line="440" w:lineRule="exact"/>
        <w:ind w:right="71"/>
        <w:rPr>
          <w:rFonts w:hint="eastAsia" w:ascii="宋体" w:hAnsi="宋体" w:eastAsia="宋体" w:cs="宋体"/>
          <w:szCs w:val="21"/>
        </w:rPr>
      </w:pPr>
    </w:p>
    <w:p>
      <w:pPr>
        <w:spacing w:line="440" w:lineRule="exact"/>
        <w:ind w:right="71" w:hanging="2"/>
        <w:rPr>
          <w:rFonts w:hint="eastAsia" w:ascii="宋体" w:hAnsi="宋体" w:eastAsia="宋体" w:cs="宋体"/>
          <w:szCs w:val="21"/>
        </w:rPr>
      </w:pPr>
      <w:r>
        <w:rPr>
          <w:rFonts w:hint="eastAsia" w:ascii="宋体" w:hAnsi="宋体" w:eastAsia="宋体" w:cs="宋体"/>
          <w:szCs w:val="21"/>
        </w:rPr>
        <w:t xml:space="preserve">    本授权书声明：注册于</w:t>
      </w:r>
      <w:r>
        <w:rPr>
          <w:rFonts w:hint="eastAsia" w:ascii="宋体" w:hAnsi="宋体" w:eastAsia="宋体" w:cs="宋体"/>
          <w:szCs w:val="21"/>
          <w:u w:val="single"/>
        </w:rPr>
        <w:t>（   地址     ）</w:t>
      </w:r>
      <w:r>
        <w:rPr>
          <w:rFonts w:hint="eastAsia" w:ascii="宋体" w:hAnsi="宋体" w:eastAsia="宋体" w:cs="宋体"/>
          <w:szCs w:val="21"/>
        </w:rPr>
        <w:t>的</w:t>
      </w:r>
      <w:r>
        <w:rPr>
          <w:rFonts w:hint="eastAsia" w:ascii="宋体" w:hAnsi="宋体" w:eastAsia="宋体" w:cs="宋体"/>
          <w:szCs w:val="21"/>
          <w:u w:val="single"/>
        </w:rPr>
        <w:t>（   公司名称   ）</w:t>
      </w:r>
      <w:r>
        <w:rPr>
          <w:rFonts w:hint="eastAsia" w:ascii="宋体" w:hAnsi="宋体" w:eastAsia="宋体" w:cs="宋体"/>
          <w:szCs w:val="21"/>
        </w:rPr>
        <w:t>的</w:t>
      </w:r>
      <w:r>
        <w:rPr>
          <w:rFonts w:hint="eastAsia" w:ascii="宋体" w:hAnsi="宋体" w:eastAsia="宋体" w:cs="宋体"/>
          <w:szCs w:val="21"/>
          <w:u w:val="single"/>
        </w:rPr>
        <w:t>（法定代表人姓名、职务）</w:t>
      </w:r>
      <w:r>
        <w:rPr>
          <w:rFonts w:hint="eastAsia" w:ascii="宋体" w:hAnsi="宋体" w:eastAsia="宋体" w:cs="宋体"/>
          <w:szCs w:val="21"/>
        </w:rPr>
        <w:t>代表本公司授权（</w:t>
      </w:r>
      <w:r>
        <w:rPr>
          <w:rFonts w:hint="eastAsia" w:ascii="宋体" w:hAnsi="宋体" w:eastAsia="宋体" w:cs="宋体"/>
          <w:szCs w:val="21"/>
          <w:u w:val="single"/>
        </w:rPr>
        <w:t>被授权人的姓名、所在单位及职务）</w:t>
      </w:r>
      <w:r>
        <w:rPr>
          <w:rFonts w:hint="eastAsia" w:ascii="宋体" w:hAnsi="宋体" w:eastAsia="宋体" w:cs="宋体"/>
          <w:szCs w:val="21"/>
        </w:rPr>
        <w:t>为本公司的合法代理人，参加</w:t>
      </w:r>
      <w:r>
        <w:rPr>
          <w:rFonts w:hint="eastAsia" w:ascii="宋体" w:hAnsi="宋体" w:eastAsia="宋体" w:cs="宋体"/>
          <w:szCs w:val="21"/>
          <w:u w:val="single"/>
        </w:rPr>
        <w:t>（   项目名称   ）</w:t>
      </w:r>
      <w:r>
        <w:rPr>
          <w:rFonts w:hint="eastAsia" w:ascii="宋体" w:hAnsi="宋体" w:eastAsia="宋体" w:cs="宋体"/>
          <w:szCs w:val="21"/>
        </w:rPr>
        <w:t>的投标，以本公司名义处理一切与之有关的事务。</w:t>
      </w:r>
    </w:p>
    <w:p>
      <w:pPr>
        <w:spacing w:line="440" w:lineRule="exact"/>
        <w:ind w:right="71" w:hanging="2"/>
        <w:rPr>
          <w:rFonts w:hint="eastAsia" w:ascii="宋体" w:hAnsi="宋体" w:eastAsia="宋体" w:cs="宋体"/>
          <w:szCs w:val="21"/>
        </w:rPr>
      </w:pPr>
      <w:r>
        <w:rPr>
          <w:rFonts w:hint="eastAsia" w:ascii="宋体" w:hAnsi="宋体" w:eastAsia="宋体" w:cs="宋体"/>
          <w:szCs w:val="21"/>
        </w:rPr>
        <w:t xml:space="preserve">    本授权书于年月日签字生效，特此声明。</w:t>
      </w:r>
    </w:p>
    <w:p>
      <w:pPr>
        <w:spacing w:line="440" w:lineRule="exact"/>
        <w:ind w:right="71" w:firstLine="525" w:firstLineChars="250"/>
        <w:rPr>
          <w:rFonts w:hint="eastAsia" w:ascii="宋体" w:hAnsi="宋体" w:eastAsia="宋体" w:cs="宋体"/>
          <w:szCs w:val="21"/>
        </w:rPr>
      </w:pPr>
      <w:r>
        <w:rPr>
          <w:rFonts w:hint="eastAsia" w:ascii="宋体" w:hAnsi="宋体" w:eastAsia="宋体" w:cs="宋体"/>
          <w:szCs w:val="21"/>
        </w:rPr>
        <w:t>本授权书不得转委托。</w:t>
      </w:r>
    </w:p>
    <w:p>
      <w:pPr>
        <w:spacing w:line="440" w:lineRule="exact"/>
        <w:ind w:right="71" w:hanging="2"/>
        <w:rPr>
          <w:rFonts w:hint="eastAsia" w:ascii="宋体" w:hAnsi="宋体" w:eastAsia="宋体" w:cs="宋体"/>
          <w:szCs w:val="21"/>
        </w:rPr>
      </w:pPr>
    </w:p>
    <w:p>
      <w:pPr>
        <w:spacing w:line="440" w:lineRule="exact"/>
        <w:ind w:right="71" w:hanging="2"/>
        <w:rPr>
          <w:rFonts w:hint="eastAsia" w:ascii="宋体" w:hAnsi="宋体" w:eastAsia="宋体" w:cs="宋体"/>
          <w:szCs w:val="21"/>
        </w:rPr>
      </w:pPr>
      <w:r>
        <w:rPr>
          <w:rFonts w:hint="eastAsia" w:ascii="宋体" w:hAnsi="宋体" w:eastAsia="宋体" w:cs="宋体"/>
          <w:szCs w:val="21"/>
        </w:rPr>
        <w:t>法定代表人签字：</w:t>
      </w:r>
    </w:p>
    <w:p>
      <w:pPr>
        <w:spacing w:line="440" w:lineRule="exact"/>
        <w:ind w:right="71" w:hanging="2"/>
        <w:rPr>
          <w:rFonts w:hint="eastAsia" w:ascii="宋体" w:hAnsi="宋体" w:eastAsia="宋体" w:cs="宋体"/>
          <w:szCs w:val="21"/>
        </w:rPr>
      </w:pPr>
      <w:r>
        <w:rPr>
          <w:rFonts w:hint="eastAsia" w:ascii="宋体" w:hAnsi="宋体" w:eastAsia="宋体" w:cs="宋体"/>
          <w:szCs w:val="21"/>
        </w:rPr>
        <w:t>被授权人签字：</w:t>
      </w:r>
    </w:p>
    <w:p>
      <w:pPr>
        <w:spacing w:line="440" w:lineRule="exact"/>
        <w:ind w:right="71" w:hanging="2"/>
        <w:rPr>
          <w:rFonts w:hint="eastAsia" w:ascii="宋体" w:hAnsi="宋体" w:eastAsia="宋体" w:cs="宋体"/>
          <w:szCs w:val="21"/>
          <w:u w:val="single"/>
        </w:rPr>
      </w:pPr>
      <w:r>
        <w:rPr>
          <w:rFonts w:hint="eastAsia" w:ascii="宋体" w:hAnsi="宋体" w:eastAsia="宋体" w:cs="宋体"/>
          <w:szCs w:val="21"/>
        </w:rPr>
        <w:t>投标人名称：</w:t>
      </w:r>
    </w:p>
    <w:p>
      <w:pPr>
        <w:spacing w:line="440" w:lineRule="exact"/>
        <w:ind w:right="71" w:hanging="2"/>
        <w:rPr>
          <w:rFonts w:hint="eastAsia" w:ascii="宋体" w:hAnsi="宋体" w:eastAsia="宋体" w:cs="宋体"/>
          <w:szCs w:val="21"/>
        </w:rPr>
      </w:pPr>
      <w:r>
        <w:rPr>
          <w:rFonts w:hint="eastAsia" w:ascii="宋体" w:hAnsi="宋体" w:eastAsia="宋体" w:cs="宋体"/>
          <w:szCs w:val="21"/>
        </w:rPr>
        <w:t>（盖章）</w:t>
      </w:r>
    </w:p>
    <w:p>
      <w:pPr>
        <w:spacing w:line="440" w:lineRule="exact"/>
        <w:ind w:right="71" w:hanging="2"/>
        <w:rPr>
          <w:rFonts w:hint="eastAsia" w:ascii="宋体" w:hAnsi="宋体" w:eastAsia="宋体" w:cs="宋体"/>
          <w:szCs w:val="21"/>
        </w:rPr>
      </w:pPr>
    </w:p>
    <w:p>
      <w:pPr>
        <w:widowControl/>
        <w:spacing w:line="440" w:lineRule="exact"/>
        <w:jc w:val="left"/>
        <w:rPr>
          <w:rFonts w:hint="eastAsia" w:ascii="宋体" w:hAnsi="宋体" w:eastAsia="宋体" w:cs="宋体"/>
          <w:szCs w:val="21"/>
        </w:rPr>
      </w:pPr>
      <w:r>
        <w:rPr>
          <w:rFonts w:hint="eastAsia" w:ascii="宋体" w:hAnsi="宋体" w:eastAsia="宋体" w:cs="宋体"/>
          <w:szCs w:val="21"/>
        </w:rPr>
        <w:t>附：1、法定代表人身份证复印件。</w:t>
      </w:r>
    </w:p>
    <w:p>
      <w:pPr>
        <w:spacing w:line="440" w:lineRule="exact"/>
        <w:ind w:firstLine="435"/>
        <w:rPr>
          <w:rFonts w:hint="eastAsia" w:ascii="宋体" w:hAnsi="宋体" w:eastAsia="宋体" w:cs="宋体"/>
          <w:szCs w:val="21"/>
        </w:rPr>
        <w:sectPr>
          <w:headerReference r:id="rId13" w:type="first"/>
          <w:footerReference r:id="rId15" w:type="first"/>
          <w:headerReference r:id="rId12" w:type="default"/>
          <w:footerReference r:id="rId14" w:type="default"/>
          <w:pgSz w:w="11907" w:h="16840"/>
          <w:pgMar w:top="426" w:right="1418" w:bottom="1134" w:left="1418" w:header="851" w:footer="851" w:gutter="0"/>
          <w:pgBorders>
            <w:top w:val="none" w:sz="0" w:space="0"/>
            <w:left w:val="none" w:sz="0" w:space="0"/>
            <w:bottom w:val="none" w:sz="0" w:space="0"/>
            <w:right w:val="none" w:sz="0" w:space="0"/>
          </w:pgBorders>
          <w:pgNumType w:fmt="decimal"/>
          <w:cols w:space="720" w:num="1"/>
          <w:docGrid w:linePitch="312" w:charSpace="41434"/>
        </w:sectPr>
      </w:pPr>
      <w:r>
        <w:rPr>
          <w:rFonts w:hint="eastAsia" w:ascii="宋体" w:hAnsi="宋体" w:eastAsia="宋体" w:cs="宋体"/>
          <w:szCs w:val="21"/>
        </w:rPr>
        <w:t>2、法定代表人授权代理人身份证复印件。</w:t>
      </w:r>
    </w:p>
    <w:p>
      <w:pPr>
        <w:spacing w:line="440" w:lineRule="exact"/>
        <w:ind w:right="73" w:rightChars="35"/>
        <w:jc w:val="left"/>
        <w:rPr>
          <w:rFonts w:hint="eastAsia" w:ascii="宋体" w:hAnsi="宋体" w:eastAsia="宋体" w:cs="宋体"/>
          <w:b/>
          <w:bCs/>
          <w:szCs w:val="21"/>
        </w:rPr>
      </w:pPr>
      <w:r>
        <w:rPr>
          <w:rFonts w:hint="eastAsia" w:ascii="宋体" w:hAnsi="宋体" w:eastAsia="宋体" w:cs="宋体"/>
          <w:b/>
          <w:bCs/>
          <w:szCs w:val="21"/>
        </w:rPr>
        <w:t xml:space="preserve">附件4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Cs w:val="21"/>
        </w:rPr>
        <w:t>清单分项报价表</w:t>
      </w:r>
    </w:p>
    <w:p>
      <w:pPr>
        <w:spacing w:line="440" w:lineRule="exact"/>
        <w:ind w:right="73" w:rightChars="35" w:firstLine="2310" w:firstLineChars="1100"/>
        <w:jc w:val="center"/>
        <w:rPr>
          <w:rFonts w:hint="eastAsia" w:ascii="宋体" w:hAnsi="宋体" w:eastAsia="宋体" w:cs="宋体"/>
          <w:szCs w:val="21"/>
        </w:rPr>
      </w:pPr>
    </w:p>
    <w:p>
      <w:pPr>
        <w:spacing w:line="440" w:lineRule="exact"/>
        <w:ind w:right="73" w:rightChars="35"/>
        <w:rPr>
          <w:rFonts w:hint="eastAsia" w:ascii="宋体" w:hAnsi="宋体" w:eastAsia="宋体" w:cs="宋体"/>
          <w:b/>
          <w:bCs/>
          <w:szCs w:val="21"/>
          <w:lang w:eastAsia="zh-CN"/>
        </w:rPr>
      </w:pPr>
      <w:r>
        <w:rPr>
          <w:rFonts w:hint="eastAsia" w:ascii="宋体" w:hAnsi="宋体" w:eastAsia="宋体" w:cs="宋体"/>
          <w:szCs w:val="21"/>
          <w:lang w:val="en-US" w:eastAsia="zh-CN"/>
        </w:rPr>
        <w:t xml:space="preserve"> </w:t>
      </w: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pStyle w:val="2"/>
        <w:rPr>
          <w:rFonts w:hint="eastAsia" w:ascii="宋体" w:hAnsi="宋体" w:eastAsia="宋体" w:cs="宋体"/>
          <w:b/>
          <w:bCs/>
          <w:szCs w:val="21"/>
        </w:rPr>
      </w:pPr>
    </w:p>
    <w:p>
      <w:pPr>
        <w:pStyle w:val="2"/>
        <w:rPr>
          <w:rFonts w:hint="eastAsia" w:ascii="宋体" w:hAnsi="宋体" w:eastAsia="宋体" w:cs="宋体"/>
          <w:b/>
          <w:bCs/>
          <w:szCs w:val="21"/>
        </w:rPr>
      </w:pPr>
    </w:p>
    <w:p>
      <w:pPr>
        <w:spacing w:line="440" w:lineRule="exact"/>
        <w:ind w:right="73" w:rightChars="35"/>
        <w:rPr>
          <w:rFonts w:hint="eastAsia" w:ascii="宋体" w:hAnsi="宋体" w:eastAsia="宋体" w:cs="宋体"/>
          <w:b/>
          <w:bCs/>
          <w:szCs w:val="21"/>
        </w:rPr>
      </w:pPr>
    </w:p>
    <w:p>
      <w:pPr>
        <w:spacing w:line="440" w:lineRule="exact"/>
        <w:ind w:right="73" w:rightChars="35"/>
        <w:rPr>
          <w:rFonts w:hint="eastAsia" w:ascii="宋体" w:hAnsi="宋体" w:eastAsia="宋体" w:cs="宋体"/>
          <w:b/>
          <w:bCs/>
          <w:sz w:val="28"/>
          <w:szCs w:val="28"/>
        </w:rPr>
      </w:pPr>
      <w:r>
        <w:rPr>
          <w:rFonts w:hint="eastAsia" w:ascii="宋体" w:hAnsi="宋体" w:eastAsia="宋体" w:cs="宋体"/>
          <w:b/>
          <w:bCs/>
          <w:szCs w:val="21"/>
        </w:rPr>
        <w:t xml:space="preserve">附件5                              </w:t>
      </w:r>
      <w:r>
        <w:rPr>
          <w:rFonts w:hint="eastAsia" w:ascii="宋体" w:hAnsi="宋体" w:eastAsia="宋体" w:cs="宋体"/>
          <w:b/>
          <w:bCs/>
          <w:sz w:val="28"/>
          <w:szCs w:val="28"/>
        </w:rPr>
        <w:t xml:space="preserve">   </w:t>
      </w:r>
      <w:r>
        <w:rPr>
          <w:rFonts w:hint="eastAsia" w:ascii="宋体" w:hAnsi="宋体" w:eastAsia="宋体" w:cs="宋体"/>
          <w:b/>
          <w:bCs/>
          <w:szCs w:val="21"/>
        </w:rPr>
        <w:t>偏离表</w:t>
      </w: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p>
    <w:p>
      <w:pPr>
        <w:spacing w:line="440" w:lineRule="exact"/>
        <w:ind w:right="73" w:rightChars="35"/>
        <w:jc w:val="left"/>
        <w:rPr>
          <w:rFonts w:hint="eastAsia" w:ascii="宋体" w:hAnsi="宋体" w:eastAsia="宋体" w:cs="宋体"/>
          <w:bCs/>
          <w:szCs w:val="21"/>
        </w:rPr>
      </w:pPr>
      <w:r>
        <w:rPr>
          <w:rFonts w:hint="eastAsia" w:ascii="宋体" w:hAnsi="宋体" w:eastAsia="宋体" w:cs="宋体"/>
          <w:bCs/>
          <w:szCs w:val="21"/>
        </w:rPr>
        <w:t>附件5.1技术规格偏离表</w:t>
      </w:r>
    </w:p>
    <w:p>
      <w:pPr>
        <w:spacing w:line="200" w:lineRule="atLeast"/>
        <w:rPr>
          <w:rFonts w:hint="eastAsia" w:ascii="宋体" w:hAnsi="宋体" w:eastAsia="宋体" w:cs="宋体"/>
          <w:b/>
          <w:kern w:val="0"/>
          <w:szCs w:val="21"/>
        </w:rPr>
      </w:pPr>
      <w:r>
        <w:rPr>
          <w:rFonts w:hint="eastAsia" w:ascii="宋体" w:hAnsi="宋体" w:eastAsia="宋体" w:cs="宋体"/>
          <w:bCs/>
          <w:szCs w:val="21"/>
        </w:rPr>
        <w:t>招标编号：</w:t>
      </w:r>
    </w:p>
    <w:tbl>
      <w:tblPr>
        <w:tblStyle w:val="15"/>
        <w:tblW w:w="85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1833"/>
        <w:gridCol w:w="1408"/>
        <w:gridCol w:w="1408"/>
        <w:gridCol w:w="90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序号</w:t>
            </w:r>
          </w:p>
        </w:tc>
        <w:tc>
          <w:tcPr>
            <w:tcW w:w="1407"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项目名称</w:t>
            </w:r>
          </w:p>
        </w:tc>
        <w:tc>
          <w:tcPr>
            <w:tcW w:w="1833"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招标文件条目号</w:t>
            </w:r>
          </w:p>
        </w:tc>
        <w:tc>
          <w:tcPr>
            <w:tcW w:w="140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招标规格</w:t>
            </w:r>
          </w:p>
        </w:tc>
        <w:tc>
          <w:tcPr>
            <w:tcW w:w="1408"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投标规格</w:t>
            </w:r>
          </w:p>
        </w:tc>
        <w:tc>
          <w:tcPr>
            <w:tcW w:w="904"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偏离</w:t>
            </w:r>
          </w:p>
        </w:tc>
        <w:tc>
          <w:tcPr>
            <w:tcW w:w="720"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440" w:lineRule="exact"/>
              <w:ind w:right="74" w:firstLine="482"/>
              <w:jc w:val="left"/>
              <w:rPr>
                <w:rFonts w:hint="eastAsia" w:ascii="宋体" w:hAnsi="宋体" w:eastAsia="宋体" w:cs="宋体"/>
                <w:b/>
                <w:bCs/>
                <w:szCs w:val="21"/>
              </w:rPr>
            </w:pPr>
          </w:p>
        </w:tc>
        <w:tc>
          <w:tcPr>
            <w:tcW w:w="1407" w:type="dxa"/>
          </w:tcPr>
          <w:p>
            <w:pPr>
              <w:spacing w:line="440" w:lineRule="exact"/>
              <w:ind w:right="74" w:firstLine="482"/>
              <w:jc w:val="left"/>
              <w:rPr>
                <w:rFonts w:hint="eastAsia" w:ascii="宋体" w:hAnsi="宋体" w:eastAsia="宋体" w:cs="宋体"/>
                <w:b/>
                <w:bCs/>
                <w:szCs w:val="21"/>
              </w:rPr>
            </w:pPr>
          </w:p>
        </w:tc>
        <w:tc>
          <w:tcPr>
            <w:tcW w:w="1833"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904" w:type="dxa"/>
          </w:tcPr>
          <w:p>
            <w:pPr>
              <w:spacing w:line="440" w:lineRule="exact"/>
              <w:ind w:right="74" w:firstLine="482"/>
              <w:jc w:val="left"/>
              <w:rPr>
                <w:rFonts w:hint="eastAsia" w:ascii="宋体" w:hAnsi="宋体" w:eastAsia="宋体" w:cs="宋体"/>
                <w:b/>
                <w:bCs/>
                <w:szCs w:val="21"/>
              </w:rPr>
            </w:pPr>
          </w:p>
        </w:tc>
        <w:tc>
          <w:tcPr>
            <w:tcW w:w="720"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440" w:lineRule="exact"/>
              <w:ind w:right="74" w:firstLine="482"/>
              <w:jc w:val="left"/>
              <w:rPr>
                <w:rFonts w:hint="eastAsia" w:ascii="宋体" w:hAnsi="宋体" w:eastAsia="宋体" w:cs="宋体"/>
                <w:b/>
                <w:bCs/>
                <w:szCs w:val="21"/>
              </w:rPr>
            </w:pPr>
          </w:p>
        </w:tc>
        <w:tc>
          <w:tcPr>
            <w:tcW w:w="1407" w:type="dxa"/>
          </w:tcPr>
          <w:p>
            <w:pPr>
              <w:spacing w:line="440" w:lineRule="exact"/>
              <w:ind w:right="74" w:firstLine="482"/>
              <w:jc w:val="left"/>
              <w:rPr>
                <w:rFonts w:hint="eastAsia" w:ascii="宋体" w:hAnsi="宋体" w:eastAsia="宋体" w:cs="宋体"/>
                <w:b/>
                <w:bCs/>
                <w:szCs w:val="21"/>
              </w:rPr>
            </w:pPr>
          </w:p>
        </w:tc>
        <w:tc>
          <w:tcPr>
            <w:tcW w:w="1833"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1408" w:type="dxa"/>
          </w:tcPr>
          <w:p>
            <w:pPr>
              <w:spacing w:line="440" w:lineRule="exact"/>
              <w:ind w:right="74" w:firstLine="482"/>
              <w:jc w:val="left"/>
              <w:rPr>
                <w:rFonts w:hint="eastAsia" w:ascii="宋体" w:hAnsi="宋体" w:eastAsia="宋体" w:cs="宋体"/>
                <w:b/>
                <w:bCs/>
                <w:szCs w:val="21"/>
              </w:rPr>
            </w:pPr>
          </w:p>
        </w:tc>
        <w:tc>
          <w:tcPr>
            <w:tcW w:w="904" w:type="dxa"/>
          </w:tcPr>
          <w:p>
            <w:pPr>
              <w:spacing w:line="440" w:lineRule="exact"/>
              <w:ind w:right="74" w:firstLine="482"/>
              <w:jc w:val="left"/>
              <w:rPr>
                <w:rFonts w:hint="eastAsia" w:ascii="宋体" w:hAnsi="宋体" w:eastAsia="宋体" w:cs="宋体"/>
                <w:b/>
                <w:bCs/>
                <w:szCs w:val="21"/>
              </w:rPr>
            </w:pPr>
          </w:p>
        </w:tc>
        <w:tc>
          <w:tcPr>
            <w:tcW w:w="720" w:type="dxa"/>
          </w:tcPr>
          <w:p>
            <w:pPr>
              <w:spacing w:line="440" w:lineRule="exact"/>
              <w:ind w:right="74" w:firstLine="482"/>
              <w:jc w:val="left"/>
              <w:rPr>
                <w:rFonts w:hint="eastAsia" w:ascii="宋体" w:hAnsi="宋体" w:eastAsia="宋体" w:cs="宋体"/>
                <w:b/>
                <w:bCs/>
                <w:szCs w:val="21"/>
              </w:rPr>
            </w:pPr>
          </w:p>
        </w:tc>
      </w:tr>
    </w:tbl>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注：投标人递交的技术规格书中与招标文件的技术规格书中的要求不同时，应逐条列在技术偏离表中，否则将认为投标人接受招标文件技术规格书中的要求。此表可以相同格式扩展。标注*项为必须满足项目，不可偏离。</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投标人名称（盖章）：</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投标人代表签字：</w:t>
      </w:r>
    </w:p>
    <w:p>
      <w:pPr>
        <w:spacing w:line="440" w:lineRule="exact"/>
        <w:ind w:right="73" w:rightChars="35"/>
        <w:jc w:val="left"/>
        <w:rPr>
          <w:rFonts w:hint="eastAsia" w:ascii="宋体" w:hAnsi="宋体" w:eastAsia="宋体" w:cs="宋体"/>
          <w:bCs/>
          <w:szCs w:val="21"/>
        </w:rPr>
      </w:pPr>
      <w:r>
        <w:rPr>
          <w:rFonts w:hint="eastAsia" w:ascii="宋体" w:hAnsi="宋体" w:eastAsia="宋体" w:cs="宋体"/>
          <w:bCs/>
          <w:szCs w:val="21"/>
        </w:rPr>
        <w:t>附件5.2商务条款偏离表</w:t>
      </w:r>
    </w:p>
    <w:p>
      <w:pPr>
        <w:spacing w:line="200" w:lineRule="atLeast"/>
        <w:rPr>
          <w:rFonts w:hint="eastAsia" w:ascii="宋体" w:hAnsi="宋体" w:eastAsia="宋体" w:cs="宋体"/>
          <w:b/>
          <w:kern w:val="0"/>
          <w:szCs w:val="21"/>
        </w:rPr>
      </w:pPr>
      <w:r>
        <w:rPr>
          <w:rFonts w:hint="eastAsia" w:ascii="宋体" w:hAnsi="宋体" w:eastAsia="宋体" w:cs="宋体"/>
          <w:bCs/>
          <w:szCs w:val="21"/>
        </w:rPr>
        <w:t>招标编号：</w:t>
      </w:r>
    </w:p>
    <w:tbl>
      <w:tblPr>
        <w:tblStyle w:val="15"/>
        <w:tblW w:w="85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27"/>
        <w:gridCol w:w="2299"/>
        <w:gridCol w:w="2511"/>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序号</w:t>
            </w:r>
          </w:p>
        </w:tc>
        <w:tc>
          <w:tcPr>
            <w:tcW w:w="1827"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招标文件条目号</w:t>
            </w:r>
          </w:p>
        </w:tc>
        <w:tc>
          <w:tcPr>
            <w:tcW w:w="2299"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招标文件的商务条款</w:t>
            </w:r>
          </w:p>
        </w:tc>
        <w:tc>
          <w:tcPr>
            <w:tcW w:w="2511"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投标文件的商务条款</w:t>
            </w:r>
          </w:p>
        </w:tc>
        <w:tc>
          <w:tcPr>
            <w:tcW w:w="1045" w:type="dxa"/>
            <w:vAlign w:val="center"/>
          </w:tcPr>
          <w:p>
            <w:pPr>
              <w:spacing w:line="440" w:lineRule="exact"/>
              <w:ind w:right="74"/>
              <w:jc w:val="center"/>
              <w:rPr>
                <w:rFonts w:hint="eastAsia" w:ascii="宋体" w:hAnsi="宋体" w:eastAsia="宋体" w:cs="宋体"/>
                <w:bCs/>
                <w:szCs w:val="21"/>
              </w:rPr>
            </w:pPr>
            <w:r>
              <w:rPr>
                <w:rFonts w:hint="eastAsia" w:ascii="宋体" w:hAnsi="宋体" w:eastAsia="宋体" w:cs="宋体"/>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pacing w:line="440" w:lineRule="exact"/>
              <w:ind w:right="74" w:firstLine="482"/>
              <w:jc w:val="left"/>
              <w:rPr>
                <w:rFonts w:hint="eastAsia" w:ascii="宋体" w:hAnsi="宋体" w:eastAsia="宋体" w:cs="宋体"/>
                <w:b/>
                <w:bCs/>
                <w:szCs w:val="21"/>
              </w:rPr>
            </w:pPr>
          </w:p>
        </w:tc>
        <w:tc>
          <w:tcPr>
            <w:tcW w:w="1827" w:type="dxa"/>
          </w:tcPr>
          <w:p>
            <w:pPr>
              <w:spacing w:line="440" w:lineRule="exact"/>
              <w:ind w:right="74" w:firstLine="482"/>
              <w:jc w:val="left"/>
              <w:rPr>
                <w:rFonts w:hint="eastAsia" w:ascii="宋体" w:hAnsi="宋体" w:eastAsia="宋体" w:cs="宋体"/>
                <w:b/>
                <w:bCs/>
                <w:szCs w:val="21"/>
              </w:rPr>
            </w:pPr>
          </w:p>
        </w:tc>
        <w:tc>
          <w:tcPr>
            <w:tcW w:w="2299" w:type="dxa"/>
          </w:tcPr>
          <w:p>
            <w:pPr>
              <w:spacing w:line="440" w:lineRule="exact"/>
              <w:ind w:right="74" w:firstLine="482"/>
              <w:jc w:val="left"/>
              <w:rPr>
                <w:rFonts w:hint="eastAsia" w:ascii="宋体" w:hAnsi="宋体" w:eastAsia="宋体" w:cs="宋体"/>
                <w:b/>
                <w:bCs/>
                <w:szCs w:val="21"/>
              </w:rPr>
            </w:pPr>
          </w:p>
        </w:tc>
        <w:tc>
          <w:tcPr>
            <w:tcW w:w="2511" w:type="dxa"/>
          </w:tcPr>
          <w:p>
            <w:pPr>
              <w:spacing w:line="440" w:lineRule="exact"/>
              <w:ind w:right="74" w:firstLine="482"/>
              <w:jc w:val="left"/>
              <w:rPr>
                <w:rFonts w:hint="eastAsia" w:ascii="宋体" w:hAnsi="宋体" w:eastAsia="宋体" w:cs="宋体"/>
                <w:b/>
                <w:bCs/>
                <w:szCs w:val="21"/>
              </w:rPr>
            </w:pPr>
          </w:p>
        </w:tc>
        <w:tc>
          <w:tcPr>
            <w:tcW w:w="1045" w:type="dxa"/>
          </w:tcPr>
          <w:p>
            <w:pPr>
              <w:spacing w:line="440" w:lineRule="exact"/>
              <w:ind w:right="74" w:firstLine="482"/>
              <w:jc w:val="left"/>
              <w:rPr>
                <w:rFonts w:hint="eastAsia" w:ascii="宋体" w:hAnsi="宋体" w:eastAsia="宋体" w:cs="宋体"/>
                <w:b/>
                <w:bCs/>
                <w:szCs w:val="21"/>
              </w:rPr>
            </w:pPr>
          </w:p>
        </w:tc>
      </w:tr>
    </w:tbl>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注：投标人递交的投标文件中与招标文件的商务部分的要求不同时，应逐条列在商务偏离表中，否则将认为投标人接受招标文件的要求。此表可以相同格式扩展。标注*项为必须满足项目，不可偏离。</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投标人名称（盖章）：</w:t>
      </w:r>
    </w:p>
    <w:p>
      <w:pPr>
        <w:spacing w:line="440" w:lineRule="exact"/>
        <w:ind w:left="420" w:leftChars="200" w:right="73" w:rightChars="35"/>
        <w:jc w:val="left"/>
        <w:rPr>
          <w:rFonts w:hint="eastAsia" w:ascii="宋体" w:hAnsi="宋体" w:eastAsia="宋体" w:cs="宋体"/>
          <w:bCs/>
          <w:szCs w:val="21"/>
        </w:rPr>
      </w:pPr>
      <w:r>
        <w:rPr>
          <w:rFonts w:hint="eastAsia" w:ascii="宋体" w:hAnsi="宋体" w:eastAsia="宋体" w:cs="宋体"/>
          <w:bCs/>
          <w:szCs w:val="21"/>
        </w:rPr>
        <w:t>投标人代表签字：</w:t>
      </w:r>
    </w:p>
    <w:p>
      <w:pPr>
        <w:spacing w:line="440" w:lineRule="exact"/>
        <w:ind w:left="420" w:leftChars="200" w:right="73" w:rightChars="35"/>
        <w:jc w:val="left"/>
        <w:rPr>
          <w:rFonts w:hint="eastAsia" w:ascii="宋体" w:hAnsi="宋体" w:eastAsia="宋体" w:cs="宋体"/>
          <w:b/>
          <w:bCs/>
          <w:szCs w:val="21"/>
        </w:rPr>
      </w:pPr>
    </w:p>
    <w:p>
      <w:pPr>
        <w:rPr>
          <w:rFonts w:hint="eastAsia" w:ascii="宋体" w:hAnsi="宋体" w:eastAsia="宋体" w:cs="宋体"/>
          <w:b/>
          <w:szCs w:val="21"/>
        </w:rPr>
      </w:pPr>
      <w:r>
        <w:rPr>
          <w:rFonts w:hint="eastAsia" w:ascii="宋体" w:hAnsi="宋体" w:eastAsia="宋体" w:cs="宋体"/>
          <w:b/>
          <w:bCs/>
          <w:szCs w:val="21"/>
        </w:rPr>
        <w:br w:type="page"/>
      </w:r>
    </w:p>
    <w:p>
      <w:pPr>
        <w:rPr>
          <w:rFonts w:hint="eastAsia" w:ascii="宋体" w:hAnsi="宋体" w:eastAsia="宋体" w:cs="宋体"/>
          <w:b/>
          <w:szCs w:val="21"/>
        </w:rPr>
      </w:pPr>
      <w:r>
        <w:rPr>
          <w:rFonts w:hint="eastAsia" w:ascii="宋体" w:hAnsi="宋体" w:eastAsia="宋体" w:cs="宋体"/>
          <w:b/>
          <w:szCs w:val="21"/>
        </w:rPr>
        <w:t xml:space="preserve">附件6                          </w:t>
      </w:r>
      <w:r>
        <w:rPr>
          <w:rFonts w:hint="eastAsia" w:ascii="宋体" w:hAnsi="宋体" w:eastAsia="宋体" w:cs="宋体"/>
          <w:b/>
          <w:sz w:val="28"/>
          <w:szCs w:val="28"/>
        </w:rPr>
        <w:t xml:space="preserve"> </w:t>
      </w:r>
      <w:r>
        <w:rPr>
          <w:rFonts w:hint="eastAsia" w:ascii="宋体" w:hAnsi="宋体" w:eastAsia="宋体" w:cs="宋体"/>
          <w:b/>
          <w:szCs w:val="21"/>
        </w:rPr>
        <w:t>业绩证明合同复印件</w:t>
      </w:r>
    </w:p>
    <w:p>
      <w:pPr>
        <w:spacing w:line="480" w:lineRule="exact"/>
        <w:rPr>
          <w:rFonts w:hint="eastAsia" w:ascii="宋体" w:hAnsi="宋体" w:eastAsia="宋体" w:cs="宋体"/>
          <w:szCs w:val="21"/>
        </w:rPr>
      </w:pPr>
      <w:r>
        <w:rPr>
          <w:rFonts w:hint="eastAsia" w:ascii="宋体" w:hAnsi="宋体" w:eastAsia="宋体" w:cs="宋体"/>
          <w:szCs w:val="21"/>
        </w:rPr>
        <w:t>投标人名称：</w:t>
      </w:r>
    </w:p>
    <w:tbl>
      <w:tblPr>
        <w:tblStyle w:val="15"/>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35"/>
        <w:gridCol w:w="1087"/>
        <w:gridCol w:w="1161"/>
        <w:gridCol w:w="1290"/>
        <w:gridCol w:w="1031"/>
        <w:gridCol w:w="145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top w:val="single" w:color="auto" w:sz="12" w:space="0"/>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235" w:type="dxa"/>
            <w:tcBorders>
              <w:top w:val="single" w:color="auto" w:sz="12"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签订时间</w:t>
            </w:r>
          </w:p>
        </w:tc>
        <w:tc>
          <w:tcPr>
            <w:tcW w:w="1087" w:type="dxa"/>
            <w:tcBorders>
              <w:top w:val="single" w:color="auto" w:sz="12" w:space="0"/>
              <w:lef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用户单位</w:t>
            </w:r>
          </w:p>
        </w:tc>
        <w:tc>
          <w:tcPr>
            <w:tcW w:w="1161"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合同内容</w:t>
            </w:r>
          </w:p>
        </w:tc>
        <w:tc>
          <w:tcPr>
            <w:tcW w:w="1290"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合同金额</w:t>
            </w:r>
          </w:p>
        </w:tc>
        <w:tc>
          <w:tcPr>
            <w:tcW w:w="1031"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联系人</w:t>
            </w:r>
          </w:p>
        </w:tc>
        <w:tc>
          <w:tcPr>
            <w:tcW w:w="1456" w:type="dxa"/>
            <w:tcBorders>
              <w:top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1005" w:type="dxa"/>
            <w:tcBorders>
              <w:top w:val="single" w:color="auto" w:sz="12" w:space="0"/>
              <w:righ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35" w:type="dxa"/>
            <w:tcBorders>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tcBorders>
            <w:vAlign w:val="center"/>
          </w:tcPr>
          <w:p>
            <w:pPr>
              <w:jc w:val="center"/>
              <w:rPr>
                <w:rFonts w:hint="eastAsia" w:ascii="宋体" w:hAnsi="宋体" w:eastAsia="宋体" w:cs="宋体"/>
                <w:szCs w:val="21"/>
              </w:rPr>
            </w:pPr>
          </w:p>
        </w:tc>
        <w:tc>
          <w:tcPr>
            <w:tcW w:w="1161" w:type="dxa"/>
            <w:vAlign w:val="center"/>
          </w:tcPr>
          <w:p>
            <w:pPr>
              <w:jc w:val="center"/>
              <w:rPr>
                <w:rFonts w:hint="eastAsia" w:ascii="宋体" w:hAnsi="宋体" w:eastAsia="宋体" w:cs="宋体"/>
                <w:szCs w:val="21"/>
              </w:rPr>
            </w:pPr>
          </w:p>
        </w:tc>
        <w:tc>
          <w:tcPr>
            <w:tcW w:w="1290" w:type="dxa"/>
            <w:vAlign w:val="center"/>
          </w:tcPr>
          <w:p>
            <w:pPr>
              <w:jc w:val="center"/>
              <w:rPr>
                <w:rFonts w:hint="eastAsia" w:ascii="宋体" w:hAnsi="宋体" w:eastAsia="宋体" w:cs="宋体"/>
                <w:szCs w:val="21"/>
              </w:rPr>
            </w:pPr>
          </w:p>
        </w:tc>
        <w:tc>
          <w:tcPr>
            <w:tcW w:w="1031" w:type="dxa"/>
            <w:vAlign w:val="center"/>
          </w:tcPr>
          <w:p>
            <w:pPr>
              <w:jc w:val="center"/>
              <w:rPr>
                <w:rFonts w:hint="eastAsia" w:ascii="宋体" w:hAnsi="宋体" w:eastAsia="宋体" w:cs="宋体"/>
                <w:szCs w:val="21"/>
              </w:rPr>
            </w:pPr>
          </w:p>
        </w:tc>
        <w:tc>
          <w:tcPr>
            <w:tcW w:w="1456" w:type="dxa"/>
            <w:vAlign w:val="center"/>
          </w:tcPr>
          <w:p>
            <w:pPr>
              <w:jc w:val="center"/>
              <w:rPr>
                <w:rFonts w:hint="eastAsia" w:ascii="宋体" w:hAnsi="宋体" w:eastAsia="宋体" w:cs="宋体"/>
                <w:szCs w:val="21"/>
              </w:rPr>
            </w:pPr>
          </w:p>
        </w:tc>
        <w:tc>
          <w:tcPr>
            <w:tcW w:w="1005" w:type="dxa"/>
            <w:tcBorders>
              <w:right w:val="single" w:color="auto" w:sz="12" w:space="0"/>
            </w:tcBorders>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8" w:type="dxa"/>
            <w:tcBorders>
              <w:left w:val="single" w:color="auto" w:sz="12" w:space="0"/>
              <w:bottom w:val="single" w:color="auto" w:sz="12" w:space="0"/>
            </w:tcBorders>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35" w:type="dxa"/>
            <w:tcBorders>
              <w:bottom w:val="single" w:color="auto" w:sz="12" w:space="0"/>
              <w:right w:val="single" w:color="auto" w:sz="6" w:space="0"/>
            </w:tcBorders>
            <w:vAlign w:val="center"/>
          </w:tcPr>
          <w:p>
            <w:pPr>
              <w:jc w:val="center"/>
              <w:rPr>
                <w:rFonts w:hint="eastAsia" w:ascii="宋体" w:hAnsi="宋体" w:eastAsia="宋体" w:cs="宋体"/>
                <w:szCs w:val="21"/>
              </w:rPr>
            </w:pPr>
          </w:p>
        </w:tc>
        <w:tc>
          <w:tcPr>
            <w:tcW w:w="1087" w:type="dxa"/>
            <w:tcBorders>
              <w:left w:val="single" w:color="auto" w:sz="6" w:space="0"/>
              <w:bottom w:val="single" w:color="auto" w:sz="12" w:space="0"/>
            </w:tcBorders>
            <w:vAlign w:val="center"/>
          </w:tcPr>
          <w:p>
            <w:pPr>
              <w:jc w:val="center"/>
              <w:rPr>
                <w:rFonts w:hint="eastAsia" w:ascii="宋体" w:hAnsi="宋体" w:eastAsia="宋体" w:cs="宋体"/>
                <w:szCs w:val="21"/>
              </w:rPr>
            </w:pPr>
          </w:p>
        </w:tc>
        <w:tc>
          <w:tcPr>
            <w:tcW w:w="1161" w:type="dxa"/>
            <w:tcBorders>
              <w:bottom w:val="single" w:color="auto" w:sz="12" w:space="0"/>
            </w:tcBorders>
            <w:vAlign w:val="center"/>
          </w:tcPr>
          <w:p>
            <w:pPr>
              <w:jc w:val="center"/>
              <w:rPr>
                <w:rFonts w:hint="eastAsia" w:ascii="宋体" w:hAnsi="宋体" w:eastAsia="宋体" w:cs="宋体"/>
                <w:szCs w:val="21"/>
              </w:rPr>
            </w:pPr>
          </w:p>
        </w:tc>
        <w:tc>
          <w:tcPr>
            <w:tcW w:w="1290" w:type="dxa"/>
            <w:tcBorders>
              <w:bottom w:val="single" w:color="auto" w:sz="12" w:space="0"/>
            </w:tcBorders>
            <w:vAlign w:val="center"/>
          </w:tcPr>
          <w:p>
            <w:pPr>
              <w:jc w:val="center"/>
              <w:rPr>
                <w:rFonts w:hint="eastAsia" w:ascii="宋体" w:hAnsi="宋体" w:eastAsia="宋体" w:cs="宋体"/>
                <w:szCs w:val="21"/>
              </w:rPr>
            </w:pPr>
          </w:p>
        </w:tc>
        <w:tc>
          <w:tcPr>
            <w:tcW w:w="1031" w:type="dxa"/>
            <w:tcBorders>
              <w:bottom w:val="single" w:color="auto" w:sz="12" w:space="0"/>
            </w:tcBorders>
            <w:vAlign w:val="center"/>
          </w:tcPr>
          <w:p>
            <w:pPr>
              <w:jc w:val="center"/>
              <w:rPr>
                <w:rFonts w:hint="eastAsia" w:ascii="宋体" w:hAnsi="宋体" w:eastAsia="宋体" w:cs="宋体"/>
                <w:szCs w:val="21"/>
              </w:rPr>
            </w:pPr>
          </w:p>
        </w:tc>
        <w:tc>
          <w:tcPr>
            <w:tcW w:w="1456" w:type="dxa"/>
            <w:tcBorders>
              <w:bottom w:val="single" w:color="auto" w:sz="12" w:space="0"/>
            </w:tcBorders>
            <w:vAlign w:val="center"/>
          </w:tcPr>
          <w:p>
            <w:pPr>
              <w:jc w:val="center"/>
              <w:rPr>
                <w:rFonts w:hint="eastAsia" w:ascii="宋体" w:hAnsi="宋体" w:eastAsia="宋体" w:cs="宋体"/>
                <w:szCs w:val="21"/>
              </w:rPr>
            </w:pPr>
          </w:p>
        </w:tc>
        <w:tc>
          <w:tcPr>
            <w:tcW w:w="1005" w:type="dxa"/>
            <w:tcBorders>
              <w:bottom w:val="single" w:color="auto" w:sz="12" w:space="0"/>
              <w:right w:val="single" w:color="auto" w:sz="12" w:space="0"/>
            </w:tcBorders>
            <w:vAlign w:val="center"/>
          </w:tcPr>
          <w:p>
            <w:pPr>
              <w:jc w:val="center"/>
              <w:rPr>
                <w:rFonts w:hint="eastAsia" w:ascii="宋体" w:hAnsi="宋体" w:eastAsia="宋体" w:cs="宋体"/>
                <w:szCs w:val="21"/>
              </w:rPr>
            </w:pPr>
          </w:p>
        </w:tc>
      </w:tr>
    </w:tbl>
    <w:p>
      <w:pPr>
        <w:spacing w:line="480" w:lineRule="exact"/>
        <w:rPr>
          <w:rFonts w:hint="eastAsia" w:ascii="宋体" w:hAnsi="宋体" w:eastAsia="宋体" w:cs="宋体"/>
          <w:szCs w:val="21"/>
        </w:rPr>
      </w:pPr>
      <w:r>
        <w:rPr>
          <w:rFonts w:hint="eastAsia" w:ascii="宋体" w:hAnsi="宋体" w:eastAsia="宋体" w:cs="宋体"/>
          <w:szCs w:val="21"/>
        </w:rPr>
        <w:t>注：附业绩合同复印件，提交原件验证。</w:t>
      </w:r>
    </w:p>
    <w:p>
      <w:pPr>
        <w:spacing w:line="440" w:lineRule="exact"/>
        <w:rPr>
          <w:rFonts w:hint="eastAsia" w:ascii="宋体" w:hAnsi="宋体" w:eastAsia="宋体" w:cs="宋体"/>
          <w:b/>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p>
    <w:p>
      <w:pPr>
        <w:spacing w:after="120" w:afterLines="50" w:line="440" w:lineRule="exact"/>
        <w:jc w:val="left"/>
        <w:rPr>
          <w:rFonts w:hint="eastAsia" w:ascii="宋体" w:hAnsi="宋体" w:eastAsia="宋体" w:cs="宋体"/>
          <w:b/>
          <w:kern w:val="0"/>
          <w:szCs w:val="21"/>
        </w:rPr>
      </w:pPr>
      <w:r>
        <w:rPr>
          <w:rFonts w:hint="eastAsia" w:ascii="宋体" w:hAnsi="宋体" w:eastAsia="宋体" w:cs="宋体"/>
          <w:b/>
          <w:kern w:val="0"/>
          <w:szCs w:val="21"/>
        </w:rPr>
        <w:t>附件7</w:t>
      </w:r>
    </w:p>
    <w:p>
      <w:pPr>
        <w:spacing w:after="120" w:afterLines="50" w:line="440" w:lineRule="exact"/>
        <w:jc w:val="center"/>
        <w:rPr>
          <w:rFonts w:hint="eastAsia" w:ascii="宋体" w:hAnsi="宋体" w:eastAsia="宋体" w:cs="宋体"/>
          <w:b/>
          <w:kern w:val="0"/>
          <w:szCs w:val="21"/>
        </w:rPr>
      </w:pPr>
      <w:r>
        <w:rPr>
          <w:rFonts w:hint="eastAsia" w:ascii="宋体" w:hAnsi="宋体" w:eastAsia="宋体" w:cs="宋体"/>
          <w:b/>
          <w:kern w:val="0"/>
          <w:szCs w:val="21"/>
        </w:rPr>
        <w:t>无不良行为承诺书</w:t>
      </w:r>
    </w:p>
    <w:p>
      <w:pPr>
        <w:spacing w:line="440" w:lineRule="exact"/>
        <w:rPr>
          <w:rFonts w:hint="eastAsia" w:ascii="宋体" w:hAnsi="宋体" w:eastAsia="宋体" w:cs="宋体"/>
          <w:szCs w:val="21"/>
        </w:rPr>
      </w:pPr>
      <w:r>
        <w:rPr>
          <w:rFonts w:hint="eastAsia" w:ascii="宋体" w:hAnsi="宋体" w:eastAsia="宋体" w:cs="宋体"/>
          <w:szCs w:val="21"/>
        </w:rPr>
        <w:t>我郑重承诺：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我公司具有健全的财务会计制度，依法缴纳税收，在提交投标文件截止时间前的三年内没有违法、违规等不良行为记录，没有被政府职能部门通报的不良行为记录。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我公司珍惜公司声誉，没有因腐败或欺诈行为而仍被政府或业主宣布取消投标资格的记录。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我公司参与此招标项目的员工在提交投标文件截止时间前的五年内没有司法机关或纪律监察机关已书面认定的行贿受贿记录。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近三年（20</w:t>
      </w:r>
      <w:r>
        <w:rPr>
          <w:rFonts w:hint="eastAsia" w:ascii="宋体" w:hAnsi="宋体" w:eastAsia="宋体" w:cs="宋体"/>
          <w:szCs w:val="21"/>
          <w:lang w:val="en-US" w:eastAsia="zh-CN"/>
        </w:rPr>
        <w:t>21</w:t>
      </w:r>
      <w:r>
        <w:rPr>
          <w:rFonts w:hint="eastAsia" w:ascii="宋体" w:hAnsi="宋体" w:eastAsia="宋体" w:cs="宋体"/>
          <w:szCs w:val="21"/>
        </w:rPr>
        <w:t>年-202</w:t>
      </w:r>
      <w:r>
        <w:rPr>
          <w:rFonts w:hint="eastAsia" w:ascii="宋体" w:hAnsi="宋体" w:eastAsia="宋体" w:cs="宋体"/>
          <w:szCs w:val="21"/>
          <w:lang w:val="en-US" w:eastAsia="zh-CN"/>
        </w:rPr>
        <w:t>4</w:t>
      </w:r>
      <w:r>
        <w:rPr>
          <w:rFonts w:hint="eastAsia" w:ascii="宋体" w:hAnsi="宋体" w:eastAsia="宋体" w:cs="宋体"/>
          <w:szCs w:val="21"/>
        </w:rPr>
        <w:t>年）未发生被国家认监委进行处罚的情况（含单位和个人）。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近三年（20</w:t>
      </w:r>
      <w:r>
        <w:rPr>
          <w:rFonts w:hint="eastAsia" w:ascii="宋体" w:hAnsi="宋体" w:eastAsia="宋体" w:cs="宋体"/>
          <w:szCs w:val="21"/>
          <w:lang w:val="en-US" w:eastAsia="zh-CN"/>
        </w:rPr>
        <w:t>21</w:t>
      </w:r>
      <w:r>
        <w:rPr>
          <w:rFonts w:hint="eastAsia" w:ascii="宋体" w:hAnsi="宋体" w:eastAsia="宋体" w:cs="宋体"/>
          <w:szCs w:val="21"/>
        </w:rPr>
        <w:t>年—202</w:t>
      </w:r>
      <w:r>
        <w:rPr>
          <w:rFonts w:hint="eastAsia" w:ascii="宋体" w:hAnsi="宋体" w:eastAsia="宋体" w:cs="宋体"/>
          <w:szCs w:val="21"/>
          <w:lang w:val="en-US" w:eastAsia="zh-CN"/>
        </w:rPr>
        <w:t>4</w:t>
      </w:r>
      <w:r>
        <w:rPr>
          <w:rFonts w:hint="eastAsia" w:ascii="宋体" w:hAnsi="宋体" w:eastAsia="宋体" w:cs="宋体"/>
          <w:szCs w:val="21"/>
        </w:rPr>
        <w:t>年）没有为国家特重大质量、安全事故企业颁发过认证证书。</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我公司对上述内容的补充说明：</w:t>
      </w:r>
    </w:p>
    <w:p>
      <w:pPr>
        <w:spacing w:line="440" w:lineRule="exact"/>
        <w:rPr>
          <w:rFonts w:hint="eastAsia" w:ascii="宋体" w:hAnsi="宋体" w:eastAsia="宋体" w:cs="宋体"/>
          <w:szCs w:val="21"/>
          <w:u w:val="single"/>
        </w:rPr>
      </w:pPr>
    </w:p>
    <w:p>
      <w:pPr>
        <w:spacing w:line="440" w:lineRule="exact"/>
        <w:rPr>
          <w:rFonts w:hint="eastAsia" w:ascii="宋体" w:hAnsi="宋体" w:eastAsia="宋体" w:cs="宋体"/>
          <w:szCs w:val="21"/>
          <w:u w:val="single"/>
        </w:rPr>
      </w:pP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我公司承诺，如我公司在投标文件中没有充分披露公司本承诺书中所述的相关负面信息，视同弄虚作假，我公司自愿接受招标人做出的取消投标资格、取消中标资格、解除已签署的合同的处理决定，绝不提出任何异议、绝不向招标人主张任何权利。</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特此承诺！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投标授权人代表签名：</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投标单位盖章</w:t>
      </w:r>
    </w:p>
    <w:p>
      <w:pPr>
        <w:pStyle w:val="13"/>
        <w:spacing w:before="0" w:beforeAutospacing="0" w:after="0" w:afterAutospacing="0" w:line="44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spacing w:after="120" w:afterLines="50" w:line="440" w:lineRule="exact"/>
        <w:jc w:val="left"/>
        <w:rPr>
          <w:rFonts w:hint="eastAsia" w:ascii="宋体" w:hAnsi="宋体" w:eastAsia="宋体" w:cs="宋体"/>
          <w:b/>
          <w:kern w:val="0"/>
          <w:szCs w:val="21"/>
        </w:rPr>
      </w:pPr>
      <w:r>
        <w:rPr>
          <w:rFonts w:hint="eastAsia" w:ascii="宋体" w:hAnsi="宋体" w:eastAsia="宋体" w:cs="宋体"/>
          <w:szCs w:val="21"/>
        </w:rPr>
        <w:br w:type="page"/>
      </w:r>
      <w:bookmarkStart w:id="338" w:name="_Toc414608948"/>
      <w:r>
        <w:rPr>
          <w:rFonts w:hint="eastAsia" w:ascii="宋体" w:hAnsi="宋体" w:eastAsia="宋体" w:cs="宋体"/>
          <w:b/>
          <w:kern w:val="0"/>
          <w:szCs w:val="21"/>
        </w:rPr>
        <w:t>附件8</w:t>
      </w:r>
    </w:p>
    <w:p>
      <w:pPr>
        <w:spacing w:after="120" w:afterLines="50" w:line="440" w:lineRule="exact"/>
        <w:jc w:val="center"/>
        <w:rPr>
          <w:rFonts w:hint="eastAsia" w:ascii="宋体" w:hAnsi="宋体" w:eastAsia="宋体" w:cs="宋体"/>
          <w:b/>
          <w:kern w:val="0"/>
          <w:szCs w:val="21"/>
        </w:rPr>
      </w:pPr>
      <w:r>
        <w:rPr>
          <w:rFonts w:hint="eastAsia" w:ascii="宋体" w:hAnsi="宋体" w:eastAsia="宋体" w:cs="宋体"/>
          <w:b/>
          <w:kern w:val="0"/>
          <w:sz w:val="28"/>
          <w:szCs w:val="28"/>
        </w:rPr>
        <w:t>投标人守法诚信承诺书</w:t>
      </w:r>
      <w:bookmarkEnd w:id="338"/>
    </w:p>
    <w:p>
      <w:pPr>
        <w:tabs>
          <w:tab w:val="left" w:pos="900"/>
        </w:tabs>
        <w:spacing w:line="480" w:lineRule="exact"/>
        <w:ind w:right="281" w:rightChars="134"/>
        <w:rPr>
          <w:rFonts w:hint="eastAsia" w:ascii="宋体" w:hAnsi="宋体" w:eastAsia="宋体" w:cs="宋体"/>
          <w:szCs w:val="21"/>
        </w:rPr>
      </w:pPr>
      <w:r>
        <w:rPr>
          <w:rFonts w:hint="eastAsia" w:ascii="宋体" w:hAnsi="宋体" w:eastAsia="宋体" w:cs="宋体"/>
          <w:szCs w:val="21"/>
        </w:rPr>
        <w:t>湖南中昌新能源有限公司：</w:t>
      </w:r>
    </w:p>
    <w:p>
      <w:pPr>
        <w:tabs>
          <w:tab w:val="left" w:pos="900"/>
        </w:tabs>
        <w:spacing w:line="480" w:lineRule="exact"/>
        <w:ind w:right="281" w:rightChars="134" w:firstLine="525" w:firstLineChars="250"/>
        <w:rPr>
          <w:rFonts w:hint="eastAsia" w:ascii="宋体" w:hAnsi="宋体" w:eastAsia="宋体" w:cs="宋体"/>
          <w:szCs w:val="21"/>
        </w:rPr>
      </w:pPr>
      <w:r>
        <w:rPr>
          <w:rFonts w:hint="eastAsia" w:ascii="宋体" w:hAnsi="宋体" w:eastAsia="宋体" w:cs="宋体"/>
          <w:szCs w:val="21"/>
        </w:rPr>
        <w:t>为共建和+生态圈，提高“信商”指数，我方郑重承诺，与贵公司不存在有可能影响采购公正的利害关系。</w:t>
      </w:r>
    </w:p>
    <w:p>
      <w:pPr>
        <w:pStyle w:val="31"/>
        <w:spacing w:line="480" w:lineRule="exact"/>
        <w:ind w:firstLine="525" w:firstLineChars="250"/>
        <w:rPr>
          <w:rFonts w:hint="eastAsia" w:ascii="宋体" w:hAnsi="宋体" w:eastAsia="宋体" w:cs="宋体"/>
          <w:szCs w:val="21"/>
        </w:rPr>
      </w:pPr>
      <w:r>
        <w:rPr>
          <w:rFonts w:hint="eastAsia" w:ascii="宋体" w:hAnsi="宋体" w:eastAsia="宋体" w:cs="宋体"/>
          <w:szCs w:val="21"/>
        </w:rPr>
        <w:t>1、遵纪守法，不触底线，公平公正参与竞争。我方提供的各种证照真实、合法、齐全、有效，单位、法人代表（实际控制人）、项目经理</w:t>
      </w:r>
      <w:r>
        <w:rPr>
          <w:rFonts w:hint="eastAsia" w:ascii="宋体" w:hAnsi="宋体" w:eastAsia="宋体" w:cs="宋体"/>
          <w:kern w:val="0"/>
          <w:szCs w:val="21"/>
        </w:rPr>
        <w:t>三年内无刑事犯罪记录，无因招投标活动受过行政处罚以及其他</w:t>
      </w:r>
      <w:r>
        <w:rPr>
          <w:rFonts w:hint="eastAsia" w:ascii="宋体" w:hAnsi="宋体" w:eastAsia="宋体" w:cs="宋体"/>
          <w:szCs w:val="21"/>
        </w:rPr>
        <w:t>违法犯罪记录；坚决抵制围标串标、恶意投诉、买卖资质等违法违规行为。</w:t>
      </w:r>
    </w:p>
    <w:p>
      <w:pPr>
        <w:pStyle w:val="31"/>
        <w:spacing w:line="480" w:lineRule="exact"/>
        <w:ind w:firstLine="315" w:firstLineChars="150"/>
        <w:rPr>
          <w:rFonts w:hint="eastAsia" w:ascii="宋体" w:hAnsi="宋体" w:eastAsia="宋体" w:cs="宋体"/>
          <w:szCs w:val="21"/>
        </w:rPr>
      </w:pPr>
      <w:r>
        <w:rPr>
          <w:rFonts w:hint="eastAsia" w:ascii="宋体" w:hAnsi="宋体" w:eastAsia="宋体" w:cs="宋体"/>
          <w:szCs w:val="21"/>
        </w:rPr>
        <w:t xml:space="preserve">  2、诚实守信，不端不装，优质高效履行合同。一旦中标，我方将严格遵守采购文件的约定，不附加条件,及时商谈、签约、履约，不短斤少两、以次充好，不偷工减料、虚报冒领；变更规范、合理，交接事实清楚、单据完备。</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3、自我管理，知行合一，主动承担社会责任。坚持“五大发展理念”，始终为用户着想，维护同业形象，自觉接受监管，维护和谐稳定。</w:t>
      </w:r>
    </w:p>
    <w:p>
      <w:pPr>
        <w:tabs>
          <w:tab w:val="left" w:pos="900"/>
        </w:tabs>
        <w:spacing w:line="480" w:lineRule="exact"/>
        <w:ind w:right="281" w:rightChars="134" w:firstLine="525" w:firstLineChars="250"/>
        <w:rPr>
          <w:rFonts w:hint="eastAsia" w:ascii="宋体" w:hAnsi="宋体" w:eastAsia="宋体" w:cs="宋体"/>
          <w:szCs w:val="21"/>
        </w:rPr>
      </w:pPr>
      <w:r>
        <w:rPr>
          <w:rFonts w:hint="eastAsia" w:ascii="宋体" w:hAnsi="宋体" w:eastAsia="宋体" w:cs="宋体"/>
          <w:szCs w:val="21"/>
        </w:rPr>
        <w:t>特别声明：如发现我方有违上述条款，任何时候我方都愿意承担相应的法律责任，自愿放弃中标(中选、合作)资格，承担没收投标保证金、履约保证金或按合同违约责任的顶格处罚；贵公司可单方终止合同并且有权通过媒体公开上述行为，拒绝我方参加贵公司今后任何采购活动。</w:t>
      </w:r>
    </w:p>
    <w:p>
      <w:pPr>
        <w:tabs>
          <w:tab w:val="left" w:pos="900"/>
        </w:tabs>
        <w:spacing w:line="480" w:lineRule="exact"/>
        <w:ind w:right="281" w:rightChars="134" w:firstLine="420" w:firstLineChars="200"/>
        <w:rPr>
          <w:rFonts w:hint="eastAsia" w:ascii="宋体" w:hAnsi="宋体" w:eastAsia="宋体" w:cs="宋体"/>
          <w:szCs w:val="21"/>
        </w:rPr>
      </w:pPr>
      <w:r>
        <w:rPr>
          <w:rFonts w:hint="eastAsia" w:ascii="宋体" w:hAnsi="宋体" w:eastAsia="宋体" w:cs="宋体"/>
          <w:szCs w:val="21"/>
        </w:rPr>
        <w:t>专此承诺。</w:t>
      </w:r>
    </w:p>
    <w:p>
      <w:pPr>
        <w:spacing w:line="360" w:lineRule="auto"/>
        <w:rPr>
          <w:rFonts w:hint="eastAsia" w:ascii="宋体" w:hAnsi="宋体" w:eastAsia="宋体" w:cs="宋体"/>
          <w:szCs w:val="21"/>
        </w:rPr>
      </w:pPr>
    </w:p>
    <w:p>
      <w:pPr>
        <w:spacing w:line="700" w:lineRule="exact"/>
        <w:rPr>
          <w:rFonts w:hint="eastAsia" w:ascii="宋体" w:hAnsi="宋体" w:eastAsia="宋体" w:cs="宋体"/>
          <w:szCs w:val="21"/>
        </w:rPr>
      </w:pPr>
      <w:r>
        <w:rPr>
          <w:rFonts w:hint="eastAsia" w:ascii="宋体" w:hAnsi="宋体" w:eastAsia="宋体" w:cs="宋体"/>
          <w:szCs w:val="21"/>
        </w:rPr>
        <w:t xml:space="preserve">承诺人（盖单位章）：                      </w:t>
      </w:r>
    </w:p>
    <w:p>
      <w:pPr>
        <w:spacing w:line="700" w:lineRule="exact"/>
        <w:rPr>
          <w:rFonts w:hint="eastAsia" w:ascii="宋体" w:hAnsi="宋体" w:eastAsia="宋体" w:cs="宋体"/>
          <w:szCs w:val="21"/>
        </w:rPr>
      </w:pPr>
      <w:r>
        <w:rPr>
          <w:rFonts w:hint="eastAsia" w:ascii="宋体" w:hAnsi="宋体" w:eastAsia="宋体" w:cs="宋体"/>
          <w:szCs w:val="21"/>
        </w:rPr>
        <w:t xml:space="preserve">法定代表人或其委托代理人（签字）：        </w:t>
      </w:r>
    </w:p>
    <w:p>
      <w:pPr>
        <w:spacing w:line="700" w:lineRule="exact"/>
        <w:rPr>
          <w:rFonts w:hint="eastAsia" w:ascii="宋体" w:hAnsi="宋体" w:eastAsia="宋体" w:cs="宋体"/>
          <w:szCs w:val="21"/>
        </w:rPr>
      </w:pPr>
      <w:r>
        <w:rPr>
          <w:rFonts w:hint="eastAsia" w:ascii="宋体" w:hAnsi="宋体" w:eastAsia="宋体" w:cs="宋体"/>
          <w:szCs w:val="21"/>
        </w:rPr>
        <w:t xml:space="preserve"> 年     月     日</w:t>
      </w:r>
    </w:p>
    <w:p>
      <w:pPr>
        <w:spacing w:line="440" w:lineRule="exact"/>
        <w:rPr>
          <w:rFonts w:hint="eastAsia" w:ascii="宋体" w:hAnsi="宋体" w:eastAsia="宋体" w:cs="宋体"/>
          <w:szCs w:val="21"/>
        </w:rPr>
      </w:pPr>
    </w:p>
    <w:p>
      <w:pPr>
        <w:spacing w:line="440" w:lineRule="exact"/>
        <w:ind w:left="360" w:hanging="360"/>
        <w:jc w:val="left"/>
        <w:rPr>
          <w:rFonts w:hint="eastAsia" w:ascii="宋体" w:hAnsi="宋体" w:eastAsia="宋体" w:cs="宋体"/>
          <w:szCs w:val="21"/>
        </w:rPr>
      </w:pPr>
    </w:p>
    <w:p>
      <w:pPr>
        <w:pStyle w:val="13"/>
        <w:spacing w:before="0" w:beforeAutospacing="0" w:after="0" w:afterAutospacing="0" w:line="440" w:lineRule="exact"/>
        <w:jc w:val="both"/>
        <w:rPr>
          <w:rFonts w:hint="eastAsia" w:ascii="宋体" w:hAnsi="宋体" w:eastAsia="宋体" w:cs="宋体"/>
          <w:sz w:val="21"/>
          <w:szCs w:val="21"/>
        </w:rPr>
      </w:pPr>
      <w:r>
        <w:rPr>
          <w:rFonts w:hint="eastAsia" w:ascii="宋体" w:hAnsi="宋体" w:eastAsia="宋体" w:cs="宋体"/>
          <w:sz w:val="21"/>
          <w:szCs w:val="21"/>
        </w:rPr>
        <w:t>注：本承诺书随“投标一览表”一并密封提交</w:t>
      </w:r>
      <w:r>
        <w:rPr>
          <w:rFonts w:hint="eastAsia" w:ascii="宋体" w:hAnsi="宋体" w:eastAsia="宋体" w:cs="宋体"/>
          <w:sz w:val="21"/>
          <w:szCs w:val="21"/>
        </w:rPr>
        <w:br w:type="page"/>
      </w:r>
    </w:p>
    <w:p>
      <w:pPr>
        <w:pStyle w:val="13"/>
        <w:spacing w:before="0" w:beforeAutospacing="0" w:after="0" w:afterAutospacing="0" w:line="440" w:lineRule="exact"/>
        <w:jc w:val="both"/>
        <w:rPr>
          <w:rFonts w:hint="eastAsia" w:ascii="宋体" w:hAnsi="宋体" w:eastAsia="宋体" w:cs="宋体"/>
          <w:b/>
          <w:sz w:val="21"/>
          <w:szCs w:val="21"/>
        </w:rPr>
      </w:pPr>
      <w:r>
        <w:rPr>
          <w:rFonts w:hint="eastAsia" w:ascii="宋体" w:hAnsi="宋体" w:eastAsia="宋体" w:cs="宋体"/>
          <w:b/>
          <w:sz w:val="21"/>
          <w:szCs w:val="21"/>
        </w:rPr>
        <w:t>附件9中标服务费承诺书</w:t>
      </w:r>
    </w:p>
    <w:p>
      <w:pPr>
        <w:spacing w:line="440" w:lineRule="exact"/>
        <w:jc w:val="center"/>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中标服务费承诺书</w:t>
      </w:r>
    </w:p>
    <w:p>
      <w:pPr>
        <w:spacing w:line="440" w:lineRule="exact"/>
        <w:rPr>
          <w:rFonts w:hint="eastAsia" w:ascii="宋体" w:hAnsi="宋体" w:eastAsia="宋体" w:cs="宋体"/>
          <w:szCs w:val="21"/>
        </w:rPr>
      </w:pPr>
    </w:p>
    <w:p>
      <w:pPr>
        <w:spacing w:line="440" w:lineRule="exact"/>
        <w:jc w:val="center"/>
        <w:outlineLvl w:val="0"/>
        <w:rPr>
          <w:rFonts w:hint="eastAsia" w:ascii="宋体" w:hAnsi="宋体" w:eastAsia="宋体" w:cs="宋体"/>
          <w:szCs w:val="21"/>
        </w:rPr>
      </w:pPr>
      <w:r>
        <w:rPr>
          <w:rFonts w:hint="eastAsia" w:ascii="宋体" w:hAnsi="宋体" w:eastAsia="宋体" w:cs="宋体"/>
          <w:szCs w:val="21"/>
        </w:rPr>
        <w:t xml:space="preserve">                                 日期:</w:t>
      </w:r>
    </w:p>
    <w:p>
      <w:pPr>
        <w:spacing w:line="440" w:lineRule="exact"/>
        <w:rPr>
          <w:rFonts w:hint="eastAsia" w:ascii="宋体" w:hAnsi="宋体" w:eastAsia="宋体" w:cs="宋体"/>
          <w:bCs/>
          <w:szCs w:val="21"/>
        </w:rPr>
      </w:pPr>
      <w:r>
        <w:rPr>
          <w:rFonts w:hint="eastAsia" w:ascii="宋体" w:hAnsi="宋体" w:eastAsia="宋体" w:cs="宋体"/>
          <w:bCs/>
          <w:szCs w:val="21"/>
        </w:rPr>
        <w:t>致：湖南东君项目管理有限公司</w:t>
      </w:r>
    </w:p>
    <w:p>
      <w:pPr>
        <w:spacing w:line="440" w:lineRule="exact"/>
        <w:ind w:firstLine="555"/>
        <w:rPr>
          <w:rFonts w:hint="eastAsia" w:ascii="宋体" w:hAnsi="宋体" w:eastAsia="宋体" w:cs="宋体"/>
          <w:bCs/>
          <w:szCs w:val="21"/>
        </w:rPr>
      </w:pPr>
      <w:r>
        <w:rPr>
          <w:rFonts w:hint="eastAsia" w:ascii="宋体" w:hAnsi="宋体" w:eastAsia="宋体" w:cs="宋体"/>
          <w:bCs/>
          <w:szCs w:val="21"/>
        </w:rPr>
        <w:t>我们在贵公司组织的国内公开招标项目中如果获中标（招标文件编号：），中标金额为：（金额及币别）我们保证按招标文件的规定在收到中标通知书之前，向贵方交纳中标服务费（金额及币别）。</w:t>
      </w:r>
    </w:p>
    <w:p>
      <w:pPr>
        <w:tabs>
          <w:tab w:val="left" w:pos="3690"/>
        </w:tabs>
        <w:spacing w:line="440" w:lineRule="exact"/>
        <w:rPr>
          <w:rFonts w:hint="eastAsia" w:ascii="宋体" w:hAnsi="宋体" w:eastAsia="宋体" w:cs="宋体"/>
          <w:bCs/>
          <w:szCs w:val="21"/>
        </w:rPr>
      </w:pPr>
      <w:r>
        <w:rPr>
          <w:rFonts w:hint="eastAsia" w:ascii="宋体" w:hAnsi="宋体" w:eastAsia="宋体" w:cs="宋体"/>
          <w:bCs/>
          <w:szCs w:val="21"/>
        </w:rPr>
        <w:tab/>
      </w: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r>
        <w:rPr>
          <w:rFonts w:hint="eastAsia" w:ascii="宋体" w:hAnsi="宋体" w:eastAsia="宋体" w:cs="宋体"/>
          <w:bCs/>
          <w:szCs w:val="21"/>
        </w:rPr>
        <w:t>特此承诺！</w:t>
      </w: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r>
        <w:rPr>
          <w:rFonts w:hint="eastAsia" w:ascii="宋体" w:hAnsi="宋体" w:eastAsia="宋体" w:cs="宋体"/>
          <w:bCs/>
          <w:szCs w:val="21"/>
        </w:rPr>
        <w:t>承诺方法定名称：</w:t>
      </w:r>
    </w:p>
    <w:p>
      <w:pPr>
        <w:spacing w:line="440" w:lineRule="exact"/>
        <w:rPr>
          <w:rFonts w:hint="eastAsia" w:ascii="宋体" w:hAnsi="宋体" w:eastAsia="宋体" w:cs="宋体"/>
          <w:bCs/>
          <w:szCs w:val="21"/>
        </w:rPr>
      </w:pPr>
      <w:r>
        <w:rPr>
          <w:rFonts w:hint="eastAsia" w:ascii="宋体" w:hAnsi="宋体" w:eastAsia="宋体" w:cs="宋体"/>
          <w:bCs/>
          <w:szCs w:val="21"/>
        </w:rPr>
        <w:t>地址：</w:t>
      </w:r>
    </w:p>
    <w:p>
      <w:pPr>
        <w:spacing w:line="440" w:lineRule="exact"/>
        <w:rPr>
          <w:rFonts w:hint="eastAsia" w:ascii="宋体" w:hAnsi="宋体" w:eastAsia="宋体" w:cs="宋体"/>
          <w:bCs/>
          <w:szCs w:val="21"/>
        </w:rPr>
      </w:pPr>
      <w:r>
        <w:rPr>
          <w:rFonts w:hint="eastAsia" w:ascii="宋体" w:hAnsi="宋体" w:eastAsia="宋体" w:cs="宋体"/>
          <w:bCs/>
          <w:szCs w:val="21"/>
        </w:rPr>
        <w:t>电话：</w:t>
      </w:r>
    </w:p>
    <w:p>
      <w:pPr>
        <w:spacing w:line="440" w:lineRule="exact"/>
        <w:rPr>
          <w:rFonts w:hint="eastAsia" w:ascii="宋体" w:hAnsi="宋体" w:eastAsia="宋体" w:cs="宋体"/>
          <w:bCs/>
          <w:szCs w:val="21"/>
        </w:rPr>
      </w:pPr>
      <w:r>
        <w:rPr>
          <w:rFonts w:hint="eastAsia" w:ascii="宋体" w:hAnsi="宋体" w:eastAsia="宋体" w:cs="宋体"/>
          <w:bCs/>
          <w:szCs w:val="21"/>
        </w:rPr>
        <w:t>传真：</w:t>
      </w:r>
    </w:p>
    <w:p>
      <w:pPr>
        <w:spacing w:line="440" w:lineRule="exact"/>
        <w:rPr>
          <w:rFonts w:hint="eastAsia" w:ascii="宋体" w:hAnsi="宋体" w:eastAsia="宋体" w:cs="宋体"/>
          <w:bCs/>
          <w:szCs w:val="21"/>
        </w:rPr>
      </w:pPr>
      <w:r>
        <w:rPr>
          <w:rFonts w:hint="eastAsia" w:ascii="宋体" w:hAnsi="宋体" w:eastAsia="宋体" w:cs="宋体"/>
          <w:bCs/>
          <w:szCs w:val="21"/>
        </w:rPr>
        <w:t>承诺方授权代表签字：</w:t>
      </w:r>
    </w:p>
    <w:p>
      <w:pPr>
        <w:spacing w:line="440" w:lineRule="exact"/>
        <w:rPr>
          <w:rFonts w:hint="eastAsia" w:ascii="宋体" w:hAnsi="宋体" w:eastAsia="宋体" w:cs="宋体"/>
          <w:bCs/>
          <w:szCs w:val="21"/>
        </w:rPr>
      </w:pPr>
      <w:r>
        <w:rPr>
          <w:rFonts w:hint="eastAsia" w:ascii="宋体" w:hAnsi="宋体" w:eastAsia="宋体" w:cs="宋体"/>
          <w:bCs/>
          <w:szCs w:val="21"/>
        </w:rPr>
        <w:t>承诺日期：</w:t>
      </w:r>
    </w:p>
    <w:p>
      <w:pPr>
        <w:pBdr>
          <w:bottom w:val="single" w:color="auto" w:sz="6" w:space="1"/>
        </w:pBdr>
        <w:spacing w:line="440" w:lineRule="exact"/>
        <w:rPr>
          <w:rFonts w:hint="eastAsia" w:ascii="宋体" w:hAnsi="宋体" w:eastAsia="宋体" w:cs="宋体"/>
          <w:bCs/>
          <w:szCs w:val="21"/>
        </w:rPr>
      </w:pPr>
      <w:r>
        <w:rPr>
          <w:rFonts w:hint="eastAsia" w:ascii="宋体" w:hAnsi="宋体" w:eastAsia="宋体" w:cs="宋体"/>
          <w:bCs/>
          <w:szCs w:val="21"/>
        </w:rPr>
        <w:t>承诺方盖章：</w:t>
      </w:r>
    </w:p>
    <w:p>
      <w:pPr>
        <w:pBdr>
          <w:bottom w:val="single" w:color="auto" w:sz="6" w:space="1"/>
        </w:pBdr>
        <w:spacing w:line="440" w:lineRule="exact"/>
        <w:rPr>
          <w:rFonts w:hint="eastAsia" w:ascii="宋体" w:hAnsi="宋体" w:eastAsia="宋体" w:cs="宋体"/>
          <w:bCs/>
          <w:szCs w:val="21"/>
        </w:rPr>
      </w:pPr>
    </w:p>
    <w:p>
      <w:pPr>
        <w:pBdr>
          <w:bottom w:val="single" w:color="auto" w:sz="6" w:space="1"/>
        </w:pBdr>
        <w:spacing w:line="440" w:lineRule="exact"/>
        <w:rPr>
          <w:rFonts w:hint="eastAsia" w:ascii="宋体" w:hAnsi="宋体" w:eastAsia="宋体" w:cs="宋体"/>
          <w:bCs/>
          <w:szCs w:val="21"/>
        </w:rPr>
      </w:pPr>
    </w:p>
    <w:p>
      <w:pPr>
        <w:spacing w:line="440" w:lineRule="exact"/>
        <w:rPr>
          <w:rFonts w:hint="eastAsia" w:ascii="宋体" w:hAnsi="宋体" w:eastAsia="宋体" w:cs="宋体"/>
          <w:bCs/>
          <w:szCs w:val="21"/>
        </w:rPr>
      </w:pP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湖南东君项目管理有限公司</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 xml:space="preserve">地址：岳阳市岳阳楼区洞庭大道黄金街桃源新村北栋二楼201号102室 </w:t>
      </w:r>
    </w:p>
    <w:p>
      <w:pPr>
        <w:widowControl/>
        <w:spacing w:line="360" w:lineRule="exact"/>
        <w:ind w:firstLine="420" w:firstLineChars="200"/>
        <w:rPr>
          <w:rFonts w:hint="eastAsia" w:ascii="宋体" w:hAnsi="宋体" w:eastAsia="宋体" w:cs="宋体"/>
          <w:szCs w:val="21"/>
        </w:rPr>
      </w:pPr>
      <w:r>
        <w:rPr>
          <w:rFonts w:hint="eastAsia" w:ascii="宋体" w:hAnsi="宋体" w:eastAsia="宋体" w:cs="宋体"/>
          <w:szCs w:val="21"/>
        </w:rPr>
        <w:t>联系电话：1536730522</w:t>
      </w: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13"/>
        <w:spacing w:before="0" w:beforeAutospacing="0" w:after="0" w:afterAutospacing="0" w:line="440" w:lineRule="exact"/>
        <w:jc w:val="both"/>
        <w:rPr>
          <w:rFonts w:hint="eastAsia" w:ascii="宋体" w:hAnsi="宋体" w:eastAsia="宋体" w:cs="宋体"/>
          <w:b/>
          <w:sz w:val="21"/>
          <w:szCs w:val="21"/>
        </w:rPr>
      </w:pPr>
      <w:r>
        <w:rPr>
          <w:rFonts w:hint="eastAsia" w:ascii="宋体" w:hAnsi="宋体" w:eastAsia="宋体" w:cs="宋体"/>
          <w:b/>
          <w:sz w:val="21"/>
          <w:szCs w:val="21"/>
        </w:rPr>
        <w:t xml:space="preserve">附件10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投标保证金退还申请书</w:t>
      </w:r>
    </w:p>
    <w:p>
      <w:pPr>
        <w:spacing w:line="440" w:lineRule="exact"/>
        <w:jc w:val="center"/>
        <w:rPr>
          <w:rFonts w:hint="eastAsia" w:ascii="宋体" w:hAnsi="宋体" w:eastAsia="宋体" w:cs="宋体"/>
          <w:szCs w:val="21"/>
        </w:rPr>
      </w:pPr>
    </w:p>
    <w:p>
      <w:pPr>
        <w:spacing w:line="440" w:lineRule="exact"/>
        <w:jc w:val="center"/>
        <w:rPr>
          <w:rFonts w:hint="eastAsia" w:ascii="宋体" w:hAnsi="宋体" w:eastAsia="宋体" w:cs="宋体"/>
          <w:szCs w:val="21"/>
        </w:rPr>
      </w:pPr>
    </w:p>
    <w:p>
      <w:pPr>
        <w:spacing w:line="460" w:lineRule="exact"/>
        <w:ind w:firstLine="420" w:firstLineChars="200"/>
        <w:rPr>
          <w:rFonts w:hint="eastAsia" w:ascii="宋体" w:hAnsi="宋体" w:eastAsia="宋体" w:cs="宋体"/>
          <w:b/>
          <w:szCs w:val="21"/>
        </w:rPr>
      </w:pPr>
      <w:r>
        <w:rPr>
          <w:rFonts w:hint="eastAsia" w:ascii="宋体" w:hAnsi="宋体" w:eastAsia="宋体" w:cs="宋体"/>
          <w:szCs w:val="21"/>
        </w:rPr>
        <w:t>湖南东君项目管理有限公司</w:t>
      </w:r>
      <w:r>
        <w:rPr>
          <w:rFonts w:hint="eastAsia" w:ascii="宋体" w:hAnsi="宋体" w:eastAsia="宋体" w:cs="宋体"/>
          <w:b/>
          <w:szCs w:val="21"/>
        </w:rPr>
        <w:t>：</w:t>
      </w:r>
    </w:p>
    <w:p>
      <w:pPr>
        <w:spacing w:line="440" w:lineRule="exact"/>
        <w:ind w:firstLine="464"/>
        <w:rPr>
          <w:rFonts w:hint="eastAsia" w:ascii="宋体" w:hAnsi="宋体" w:eastAsia="宋体" w:cs="宋体"/>
          <w:szCs w:val="21"/>
        </w:rPr>
      </w:pPr>
      <w:r>
        <w:rPr>
          <w:rFonts w:hint="eastAsia" w:ascii="宋体" w:hAnsi="宋体" w:eastAsia="宋体" w:cs="宋体"/>
          <w:szCs w:val="21"/>
        </w:rPr>
        <w:t>我方为项目（招标编号：）投标提交的投标保证金，按招标文件规定退还时请划入下列账户（必须与汇款帐户一致，否则不予办理）：</w:t>
      </w:r>
    </w:p>
    <w:tbl>
      <w:tblPr>
        <w:tblStyle w:val="15"/>
        <w:tblW w:w="9238" w:type="dxa"/>
        <w:tblInd w:w="108" w:type="dxa"/>
        <w:tblLayout w:type="fixed"/>
        <w:tblCellMar>
          <w:top w:w="0" w:type="dxa"/>
          <w:left w:w="108" w:type="dxa"/>
          <w:bottom w:w="0" w:type="dxa"/>
          <w:right w:w="108" w:type="dxa"/>
        </w:tblCellMar>
      </w:tblPr>
      <w:tblGrid>
        <w:gridCol w:w="1857"/>
        <w:gridCol w:w="3367"/>
        <w:gridCol w:w="1736"/>
        <w:gridCol w:w="2278"/>
      </w:tblGrid>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收款单位名称</w:t>
            </w:r>
          </w:p>
        </w:tc>
        <w:tc>
          <w:tcPr>
            <w:tcW w:w="73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开户银行</w:t>
            </w:r>
          </w:p>
        </w:tc>
        <w:tc>
          <w:tcPr>
            <w:tcW w:w="336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p>
        </w:tc>
        <w:tc>
          <w:tcPr>
            <w:tcW w:w="1736"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汇入地点</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账　号</w:t>
            </w:r>
          </w:p>
        </w:tc>
        <w:tc>
          <w:tcPr>
            <w:tcW w:w="738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eastAsia="宋体" w:cs="宋体"/>
                <w:szCs w:val="21"/>
              </w:rPr>
            </w:pPr>
          </w:p>
        </w:tc>
      </w:tr>
      <w:tr>
        <w:tblPrEx>
          <w:tblCellMar>
            <w:top w:w="0" w:type="dxa"/>
            <w:left w:w="108" w:type="dxa"/>
            <w:bottom w:w="0" w:type="dxa"/>
            <w:right w:w="108" w:type="dxa"/>
          </w:tblCellMar>
        </w:tblPrEx>
        <w:tc>
          <w:tcPr>
            <w:tcW w:w="185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联系人</w:t>
            </w:r>
          </w:p>
        </w:tc>
        <w:tc>
          <w:tcPr>
            <w:tcW w:w="3367"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p>
        </w:tc>
        <w:tc>
          <w:tcPr>
            <w:tcW w:w="1736" w:type="dxa"/>
            <w:tcBorders>
              <w:top w:val="single" w:color="000000" w:sz="4" w:space="0"/>
              <w:left w:val="single" w:color="000000" w:sz="4" w:space="0"/>
              <w:bottom w:val="single" w:color="000000" w:sz="4" w:space="0"/>
            </w:tcBorders>
            <w:vAlign w:val="center"/>
          </w:tcPr>
          <w:p>
            <w:pPr>
              <w:snapToGrid w:val="0"/>
              <w:spacing w:line="440" w:lineRule="exact"/>
              <w:jc w:val="center"/>
              <w:rPr>
                <w:rFonts w:hint="eastAsia" w:ascii="宋体" w:hAnsi="宋体" w:eastAsia="宋体" w:cs="宋体"/>
                <w:szCs w:val="21"/>
              </w:rPr>
            </w:pPr>
            <w:r>
              <w:rPr>
                <w:rFonts w:hint="eastAsia" w:ascii="宋体" w:hAnsi="宋体" w:eastAsia="宋体" w:cs="宋体"/>
                <w:szCs w:val="21"/>
              </w:rPr>
              <w:t>联系电话</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hint="eastAsia" w:ascii="宋体" w:hAnsi="宋体" w:eastAsia="宋体" w:cs="宋体"/>
                <w:szCs w:val="21"/>
              </w:rPr>
            </w:pPr>
          </w:p>
        </w:tc>
      </w:tr>
    </w:tbl>
    <w:p>
      <w:pPr>
        <w:spacing w:line="440" w:lineRule="exact"/>
        <w:ind w:firstLine="464"/>
        <w:rPr>
          <w:rFonts w:hint="eastAsia" w:ascii="宋体" w:hAnsi="宋体" w:eastAsia="宋体" w:cs="宋体"/>
          <w:szCs w:val="21"/>
        </w:rPr>
      </w:pPr>
    </w:p>
    <w:p>
      <w:pPr>
        <w:spacing w:line="440" w:lineRule="exact"/>
        <w:ind w:firstLine="450"/>
        <w:rPr>
          <w:rFonts w:hint="eastAsia" w:ascii="宋体" w:hAnsi="宋体" w:eastAsia="宋体" w:cs="宋体"/>
          <w:szCs w:val="21"/>
        </w:rPr>
      </w:pPr>
      <w:r>
        <w:rPr>
          <w:rFonts w:hint="eastAsia" w:ascii="宋体" w:hAnsi="宋体" w:eastAsia="宋体" w:cs="宋体"/>
          <w:szCs w:val="21"/>
        </w:rPr>
        <w:t>若因账户信息有误或未及时将账户信息变更通知贵方，我方自行承担一切后果。</w:t>
      </w:r>
    </w:p>
    <w:p>
      <w:pPr>
        <w:spacing w:line="440" w:lineRule="exact"/>
        <w:ind w:firstLine="450"/>
        <w:rPr>
          <w:rFonts w:hint="eastAsia"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lang w:val="en-US" w:eastAsia="zh-CN"/>
        </w:rPr>
        <w:t>本项目不作要求</w:t>
      </w:r>
      <w:r>
        <w:rPr>
          <w:rFonts w:hint="eastAsia" w:ascii="宋体" w:hAnsi="宋体" w:eastAsia="宋体" w:cs="宋体"/>
          <w:b/>
          <w:szCs w:val="21"/>
        </w:rPr>
        <w:t>）</w:t>
      </w:r>
    </w:p>
    <w:p>
      <w:pPr>
        <w:spacing w:line="440" w:lineRule="exact"/>
        <w:ind w:firstLine="450"/>
        <w:rPr>
          <w:rFonts w:hint="eastAsia" w:ascii="宋体" w:hAnsi="宋体" w:eastAsia="宋体" w:cs="宋体"/>
          <w:szCs w:val="21"/>
        </w:rPr>
      </w:pPr>
    </w:p>
    <w:p>
      <w:pPr>
        <w:spacing w:line="440" w:lineRule="exact"/>
        <w:ind w:firstLine="450"/>
        <w:rPr>
          <w:rFonts w:hint="eastAsia" w:ascii="宋体" w:hAnsi="宋体" w:eastAsia="宋体" w:cs="宋体"/>
          <w:szCs w:val="21"/>
        </w:rPr>
      </w:pPr>
    </w:p>
    <w:p>
      <w:pPr>
        <w:spacing w:line="440" w:lineRule="exact"/>
        <w:ind w:firstLine="464"/>
        <w:rPr>
          <w:rFonts w:hint="eastAsia" w:ascii="宋体" w:hAnsi="宋体" w:eastAsia="宋体" w:cs="宋体"/>
          <w:szCs w:val="21"/>
        </w:rPr>
      </w:pPr>
      <w:r>
        <w:rPr>
          <w:rFonts w:hint="eastAsia" w:ascii="宋体" w:hAnsi="宋体" w:eastAsia="宋体" w:cs="宋体"/>
          <w:szCs w:val="21"/>
        </w:rPr>
        <w:t>投标人名称（加盖公章）：</w:t>
      </w:r>
    </w:p>
    <w:p>
      <w:pPr>
        <w:spacing w:line="440" w:lineRule="exact"/>
        <w:ind w:firstLine="464"/>
        <w:rPr>
          <w:rFonts w:hint="eastAsia" w:ascii="宋体" w:hAnsi="宋体" w:eastAsia="宋体" w:cs="宋体"/>
          <w:szCs w:val="21"/>
        </w:rPr>
      </w:pPr>
      <w:r>
        <w:rPr>
          <w:rFonts w:hint="eastAsia" w:ascii="宋体" w:hAnsi="宋体" w:eastAsia="宋体" w:cs="宋体"/>
          <w:szCs w:val="21"/>
        </w:rPr>
        <w:t>地址：</w:t>
      </w:r>
    </w:p>
    <w:p>
      <w:pPr>
        <w:spacing w:line="440" w:lineRule="exact"/>
        <w:ind w:firstLine="464"/>
        <w:rPr>
          <w:rFonts w:hint="eastAsia" w:ascii="宋体" w:hAnsi="宋体" w:eastAsia="宋体" w:cs="宋体"/>
          <w:szCs w:val="21"/>
        </w:rPr>
      </w:pPr>
      <w:r>
        <w:rPr>
          <w:rFonts w:hint="eastAsia" w:ascii="宋体" w:hAnsi="宋体" w:eastAsia="宋体" w:cs="宋体"/>
          <w:szCs w:val="21"/>
        </w:rPr>
        <w:t>邮编：</w:t>
      </w:r>
    </w:p>
    <w:p>
      <w:pPr>
        <w:spacing w:line="440" w:lineRule="exact"/>
        <w:ind w:firstLine="464"/>
        <w:rPr>
          <w:rFonts w:hint="eastAsia" w:ascii="宋体" w:hAnsi="宋体" w:eastAsia="宋体" w:cs="宋体"/>
          <w:szCs w:val="21"/>
        </w:rPr>
      </w:pPr>
      <w:r>
        <w:rPr>
          <w:rFonts w:hint="eastAsia" w:ascii="宋体" w:hAnsi="宋体" w:eastAsia="宋体" w:cs="宋体"/>
          <w:szCs w:val="21"/>
        </w:rPr>
        <w:t>投标人法定代表人或其授权的委托代理人签字：</w:t>
      </w:r>
    </w:p>
    <w:p>
      <w:pPr>
        <w:spacing w:line="440" w:lineRule="exact"/>
        <w:ind w:firstLine="464"/>
        <w:rPr>
          <w:rFonts w:hint="eastAsia" w:ascii="宋体" w:hAnsi="宋体" w:eastAsia="宋体" w:cs="宋体"/>
          <w:szCs w:val="21"/>
        </w:rPr>
      </w:pPr>
      <w:r>
        <w:rPr>
          <w:rFonts w:hint="eastAsia" w:ascii="宋体" w:hAnsi="宋体" w:eastAsia="宋体" w:cs="宋体"/>
          <w:szCs w:val="21"/>
        </w:rPr>
        <w:t>联系电话：</w:t>
      </w:r>
    </w:p>
    <w:p>
      <w:pPr>
        <w:spacing w:line="440" w:lineRule="exact"/>
        <w:ind w:firstLine="464"/>
        <w:rPr>
          <w:rFonts w:hint="eastAsia" w:ascii="宋体" w:hAnsi="宋体" w:eastAsia="宋体" w:cs="宋体"/>
          <w:szCs w:val="21"/>
        </w:rPr>
      </w:pPr>
      <w:r>
        <w:rPr>
          <w:rFonts w:hint="eastAsia" w:ascii="宋体" w:hAnsi="宋体" w:eastAsia="宋体" w:cs="宋体"/>
          <w:szCs w:val="21"/>
        </w:rPr>
        <w:t>日期：</w:t>
      </w:r>
    </w:p>
    <w:p>
      <w:pPr>
        <w:spacing w:line="440" w:lineRule="exact"/>
        <w:ind w:firstLine="450"/>
        <w:rPr>
          <w:rFonts w:hint="eastAsia" w:ascii="宋体" w:hAnsi="宋体" w:eastAsia="宋体" w:cs="宋体"/>
          <w:szCs w:val="21"/>
        </w:rPr>
      </w:pPr>
    </w:p>
    <w:p>
      <w:pPr>
        <w:spacing w:line="440" w:lineRule="exact"/>
        <w:rPr>
          <w:rFonts w:hint="eastAsia" w:ascii="宋体" w:hAnsi="宋体" w:eastAsia="宋体" w:cs="宋体"/>
          <w:b/>
          <w:szCs w:val="21"/>
        </w:rPr>
      </w:pPr>
    </w:p>
    <w:p>
      <w:pPr>
        <w:pStyle w:val="4"/>
        <w:rPr>
          <w:rFonts w:hint="eastAsia" w:ascii="宋体" w:hAnsi="宋体" w:eastAsia="宋体" w:cs="宋体"/>
          <w:sz w:val="21"/>
          <w:szCs w:val="21"/>
        </w:rPr>
      </w:pPr>
    </w:p>
    <w:p>
      <w:pPr>
        <w:spacing w:line="440" w:lineRule="exact"/>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pStyle w:val="2"/>
        <w:rPr>
          <w:rFonts w:hint="eastAsia" w:ascii="宋体" w:hAnsi="宋体" w:eastAsia="宋体" w:cs="宋体"/>
          <w:b/>
          <w:szCs w:val="21"/>
        </w:rPr>
      </w:pPr>
    </w:p>
    <w:p>
      <w:pPr>
        <w:spacing w:line="440" w:lineRule="exact"/>
        <w:rPr>
          <w:rFonts w:hint="eastAsia" w:ascii="宋体" w:hAnsi="宋体" w:eastAsia="宋体" w:cs="宋体"/>
          <w:b/>
          <w:sz w:val="28"/>
          <w:szCs w:val="28"/>
        </w:rPr>
      </w:pPr>
      <w:r>
        <w:rPr>
          <w:rFonts w:hint="eastAsia" w:ascii="宋体" w:hAnsi="宋体" w:eastAsia="宋体" w:cs="宋体"/>
          <w:b/>
          <w:szCs w:val="21"/>
        </w:rPr>
        <w:t xml:space="preserve">附件11               </w:t>
      </w:r>
      <w:r>
        <w:rPr>
          <w:rFonts w:hint="eastAsia" w:ascii="宋体" w:hAnsi="宋体" w:eastAsia="宋体" w:cs="宋体"/>
          <w:b/>
          <w:sz w:val="28"/>
          <w:szCs w:val="28"/>
        </w:rPr>
        <w:t xml:space="preserve">       </w:t>
      </w:r>
      <w:r>
        <w:rPr>
          <w:rFonts w:hint="eastAsia" w:ascii="宋体" w:hAnsi="宋体" w:eastAsia="宋体" w:cs="宋体"/>
          <w:b/>
          <w:szCs w:val="21"/>
        </w:rPr>
        <w:t>投标人资质证书以及其他资质</w:t>
      </w:r>
    </w:p>
    <w:p>
      <w:pPr>
        <w:spacing w:line="440" w:lineRule="exact"/>
        <w:rPr>
          <w:rFonts w:hint="eastAsia" w:ascii="宋体" w:hAnsi="宋体" w:eastAsia="宋体" w:cs="宋体"/>
          <w:b/>
          <w:szCs w:val="21"/>
        </w:rPr>
      </w:pPr>
      <w:r>
        <w:rPr>
          <w:rFonts w:hint="eastAsia" w:ascii="宋体" w:hAnsi="宋体" w:eastAsia="宋体" w:cs="宋体"/>
          <w:b/>
          <w:szCs w:val="21"/>
        </w:rPr>
        <w:br w:type="page"/>
      </w:r>
    </w:p>
    <w:p>
      <w:pPr>
        <w:spacing w:line="440" w:lineRule="exact"/>
        <w:rPr>
          <w:rFonts w:hint="eastAsia" w:ascii="宋体" w:hAnsi="宋体" w:eastAsia="宋体" w:cs="宋体"/>
          <w:b/>
          <w:sz w:val="28"/>
          <w:szCs w:val="28"/>
        </w:rPr>
      </w:pPr>
      <w:r>
        <w:rPr>
          <w:rFonts w:hint="eastAsia" w:ascii="宋体" w:hAnsi="宋体" w:eastAsia="宋体" w:cs="宋体"/>
          <w:b/>
          <w:szCs w:val="21"/>
        </w:rPr>
        <w:t xml:space="preserve">附件12                     </w:t>
      </w:r>
      <w:r>
        <w:rPr>
          <w:rFonts w:hint="eastAsia" w:ascii="宋体" w:hAnsi="宋体" w:eastAsia="宋体" w:cs="宋体"/>
          <w:b/>
          <w:sz w:val="28"/>
          <w:szCs w:val="28"/>
        </w:rPr>
        <w:t xml:space="preserve"> </w:t>
      </w:r>
      <w:r>
        <w:rPr>
          <w:rFonts w:hint="eastAsia" w:ascii="宋体" w:hAnsi="宋体" w:eastAsia="宋体" w:cs="宋体"/>
          <w:b/>
          <w:szCs w:val="21"/>
        </w:rPr>
        <w:t>施工组织设计及其他资料</w:t>
      </w:r>
    </w:p>
    <w:p>
      <w:pPr>
        <w:spacing w:line="360" w:lineRule="auto"/>
        <w:ind w:right="23" w:rightChars="11" w:firstLine="420" w:firstLineChars="200"/>
        <w:rPr>
          <w:rFonts w:hint="eastAsia" w:ascii="宋体" w:hAnsi="宋体" w:eastAsia="宋体" w:cs="宋体"/>
          <w:szCs w:val="21"/>
        </w:rPr>
      </w:pPr>
    </w:p>
    <w:p>
      <w:pPr>
        <w:spacing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《施工组织设计》技术文件应包括的内容（不限于以下内容、可自行增减，格式自拟）：</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工程概况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编制依据</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施工平面布置</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工程进度计划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资源配置计划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质量管理体系与措施</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安全管理体系与措施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文明施工及环境保护管理体系与措施 </w:t>
      </w:r>
    </w:p>
    <w:p>
      <w:pPr>
        <w:numPr>
          <w:ilvl w:val="0"/>
          <w:numId w:val="4"/>
        </w:numPr>
        <w:spacing w:beforeLines="50"/>
        <w:ind w:leftChars="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应急管理预案</w:t>
      </w:r>
    </w:p>
    <w:p>
      <w:pPr>
        <w:spacing w:line="360" w:lineRule="auto"/>
        <w:rPr>
          <w:rFonts w:hint="eastAsia" w:ascii="宋体" w:hAnsi="宋体" w:eastAsia="宋体" w:cs="宋体"/>
          <w:szCs w:val="21"/>
        </w:rPr>
      </w:pPr>
    </w:p>
    <w:p>
      <w:pPr>
        <w:spacing w:line="440" w:lineRule="exact"/>
        <w:ind w:firstLine="464"/>
        <w:rPr>
          <w:rFonts w:hint="eastAsia" w:ascii="宋体" w:hAnsi="宋体" w:eastAsia="宋体" w:cs="宋体"/>
          <w:szCs w:val="21"/>
        </w:rPr>
      </w:pPr>
      <w:bookmarkStart w:id="339" w:name="_Toc18001306"/>
      <w:r>
        <w:rPr>
          <w:rFonts w:hint="eastAsia" w:ascii="宋体" w:hAnsi="宋体" w:eastAsia="宋体" w:cs="宋体"/>
          <w:szCs w:val="21"/>
        </w:rPr>
        <w:t>投标人名称（加盖公章）：</w:t>
      </w:r>
    </w:p>
    <w:p>
      <w:pPr>
        <w:spacing w:line="440" w:lineRule="exact"/>
        <w:ind w:firstLine="464"/>
        <w:rPr>
          <w:rFonts w:hint="eastAsia" w:ascii="宋体" w:hAnsi="宋体" w:eastAsia="宋体" w:cs="宋体"/>
          <w:szCs w:val="21"/>
        </w:rPr>
      </w:pPr>
      <w:r>
        <w:rPr>
          <w:rFonts w:hint="eastAsia" w:ascii="宋体" w:hAnsi="宋体" w:eastAsia="宋体" w:cs="宋体"/>
          <w:szCs w:val="21"/>
        </w:rPr>
        <w:t>地址：</w:t>
      </w:r>
    </w:p>
    <w:p>
      <w:pPr>
        <w:spacing w:line="440" w:lineRule="exact"/>
        <w:ind w:firstLine="464"/>
        <w:rPr>
          <w:rFonts w:hint="eastAsia" w:ascii="宋体" w:hAnsi="宋体" w:eastAsia="宋体" w:cs="宋体"/>
          <w:szCs w:val="21"/>
        </w:rPr>
      </w:pPr>
      <w:r>
        <w:rPr>
          <w:rFonts w:hint="eastAsia" w:ascii="宋体" w:hAnsi="宋体" w:eastAsia="宋体" w:cs="宋体"/>
          <w:szCs w:val="21"/>
        </w:rPr>
        <w:t>邮编：</w:t>
      </w:r>
    </w:p>
    <w:p>
      <w:pPr>
        <w:spacing w:line="440" w:lineRule="exact"/>
        <w:ind w:firstLine="464"/>
        <w:rPr>
          <w:rFonts w:hint="eastAsia" w:ascii="宋体" w:hAnsi="宋体" w:eastAsia="宋体" w:cs="宋体"/>
          <w:szCs w:val="21"/>
        </w:rPr>
      </w:pPr>
      <w:r>
        <w:rPr>
          <w:rFonts w:hint="eastAsia" w:ascii="宋体" w:hAnsi="宋体" w:eastAsia="宋体" w:cs="宋体"/>
          <w:szCs w:val="21"/>
        </w:rPr>
        <w:t>投标人法定代表人或其授权的委托代理人签字：</w:t>
      </w:r>
    </w:p>
    <w:p>
      <w:pPr>
        <w:spacing w:line="440" w:lineRule="exact"/>
        <w:ind w:firstLine="464"/>
        <w:rPr>
          <w:rFonts w:hint="eastAsia" w:ascii="宋体" w:hAnsi="宋体" w:eastAsia="宋体" w:cs="宋体"/>
          <w:szCs w:val="21"/>
        </w:rPr>
      </w:pPr>
      <w:r>
        <w:rPr>
          <w:rFonts w:hint="eastAsia" w:ascii="宋体" w:hAnsi="宋体" w:eastAsia="宋体" w:cs="宋体"/>
          <w:szCs w:val="21"/>
        </w:rPr>
        <w:t>联系电话：</w:t>
      </w:r>
    </w:p>
    <w:p>
      <w:pPr>
        <w:spacing w:line="440" w:lineRule="exact"/>
        <w:ind w:firstLine="464"/>
        <w:rPr>
          <w:rFonts w:hint="eastAsia" w:ascii="宋体" w:hAnsi="宋体" w:eastAsia="宋体" w:cs="宋体"/>
          <w:szCs w:val="21"/>
        </w:rPr>
      </w:pPr>
      <w:r>
        <w:rPr>
          <w:rFonts w:hint="eastAsia" w:ascii="宋体" w:hAnsi="宋体" w:eastAsia="宋体" w:cs="宋体"/>
          <w:szCs w:val="21"/>
        </w:rPr>
        <w:t>日期：</w:t>
      </w:r>
    </w:p>
    <w:bookmarkEnd w:id="339"/>
    <w:p>
      <w:pPr>
        <w:spacing w:line="440" w:lineRule="exact"/>
        <w:rPr>
          <w:rFonts w:hint="eastAsia" w:ascii="宋体" w:hAnsi="宋体" w:eastAsia="宋体" w:cs="宋体"/>
          <w:b/>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pPr>
    </w:p>
    <w:p>
      <w:pPr>
        <w:pStyle w:val="4"/>
        <w:rPr>
          <w:rFonts w:hint="eastAsia" w:ascii="宋体" w:hAnsi="宋体" w:eastAsia="宋体" w:cs="宋体"/>
          <w:color w:val="000000"/>
          <w:sz w:val="21"/>
          <w:szCs w:val="21"/>
        </w:rPr>
      </w:pPr>
    </w:p>
    <w:p>
      <w:pPr>
        <w:rPr>
          <w:rFonts w:hint="eastAsia" w:ascii="宋体" w:hAnsi="宋体" w:eastAsia="宋体" w:cs="宋体"/>
          <w:color w:val="000000"/>
          <w:szCs w:val="21"/>
        </w:rPr>
        <w:sectPr>
          <w:footerReference r:id="rId19" w:type="first"/>
          <w:footerReference r:id="rId17" w:type="default"/>
          <w:headerReference r:id="rId16" w:type="even"/>
          <w:footerReference r:id="rId18"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4"/>
        <w:rPr>
          <w:rFonts w:hint="eastAsia" w:ascii="宋体" w:hAnsi="宋体" w:eastAsia="宋体" w:cs="宋体"/>
          <w:color w:val="000000"/>
          <w:sz w:val="30"/>
          <w:szCs w:val="30"/>
        </w:rPr>
      </w:pPr>
      <w:bookmarkStart w:id="340" w:name="_Toc30020"/>
      <w:r>
        <w:rPr>
          <w:rFonts w:hint="eastAsia" w:ascii="宋体" w:hAnsi="宋体" w:eastAsia="宋体" w:cs="宋体"/>
          <w:color w:val="000000"/>
          <w:sz w:val="30"/>
          <w:szCs w:val="30"/>
        </w:rPr>
        <w:t>第六章  评审细则</w:t>
      </w:r>
      <w:bookmarkEnd w:id="340"/>
    </w:p>
    <w:p>
      <w:pPr>
        <w:spacing w:line="440" w:lineRule="exact"/>
        <w:rPr>
          <w:rFonts w:hint="eastAsia" w:ascii="宋体" w:hAnsi="宋体" w:eastAsia="宋体" w:cs="宋体"/>
          <w:szCs w:val="21"/>
        </w:rPr>
      </w:pPr>
      <w:r>
        <w:rPr>
          <w:rFonts w:hint="eastAsia" w:ascii="宋体" w:hAnsi="宋体" w:eastAsia="宋体" w:cs="宋体"/>
          <w:szCs w:val="21"/>
        </w:rPr>
        <w:t>一、本项目采用综合评估法。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综合评估法是指在最大限度地满足招标文件实质性要求前提下，按照招标文件中规定的各项因素进行综合评审后，以评标总得分最高的投标人作为中标候选人的评标方法。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评议的主要内容是：对投标人的投标文件进行资格性、符合性检查，并对招标文件的响应程度、商务、技术、投标报价进行评议。</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评标时，评标委员会对每个有效投标人的标书进行评价、打分，然后汇总每个投标人每项评分因素的得分。</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凡投标人不符合资质要求的、投标文件内容未实质性响应招标文件的投标方案予以废标，不进入综合评估法范围。</w:t>
      </w:r>
    </w:p>
    <w:p>
      <w:pPr>
        <w:spacing w:line="440" w:lineRule="exact"/>
        <w:rPr>
          <w:rFonts w:hint="eastAsia" w:ascii="宋体" w:hAnsi="宋体" w:eastAsia="宋体" w:cs="宋体"/>
          <w:szCs w:val="21"/>
        </w:rPr>
      </w:pPr>
      <w:r>
        <w:rPr>
          <w:rFonts w:hint="eastAsia" w:ascii="宋体" w:hAnsi="宋体" w:eastAsia="宋体" w:cs="宋体"/>
          <w:szCs w:val="21"/>
        </w:rPr>
        <w:t>二、评标应当遵循下列工作程序：</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投标文件初审。初审分为资格性检查和符合性检查。评标委员会根据招标文件规定的评标标准和方法，对投标文件系统地进行初步评审和比较，确定不合格投标人和进入详细评审阶段的投标人名单。</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1、资格性检查是评标委员会根据法律法规和招标文件的规定，对投标文件的资格证明文件、投标保证金等进行审查，以确定投标人是否具备投标资格。</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2、符合性检查：依据招标文件的规定，从投标文件的有效性、完整性和对招标文件的响应程度进行审查，以确定是否对招标文件的实质性要求做出响应。评标委员会认定符合性检查合格，确定可以进入下一步评审的投标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澄清有关问题：对招标文件中含义不明确、同类问题表述不一致或者有明显文字和计算错误的内容，评标委员会可以书面形式要求投标人做出必要的澄清、说明或者纠正。投标人的澄清、说明或者补正应当采用书面形式，由其授权的代表签字，并不得超出投标文件的范围或者改变投标文件的实质性内容。</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比较与评价：按招标文件中规定的评标方法和标准，对资格性检查和符合性检查合格的投标文件进行商务和技术评估，综合比较与评价。</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当合格投标人不足三家时，评标委员会认为本项目具有竞争性，依据招标投标法的相关规定，评标委员会可以对本项目继续进行评议并推荐中标候选人。</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推荐中标候选人名单。中标候选人数量应当根据招标需要确定，但必须按顺序排列中标候选人。</w:t>
      </w:r>
    </w:p>
    <w:p>
      <w:pPr>
        <w:spacing w:line="440" w:lineRule="exact"/>
        <w:rPr>
          <w:rFonts w:hint="eastAsia" w:ascii="宋体" w:hAnsi="宋体" w:eastAsia="宋体" w:cs="宋体"/>
          <w:szCs w:val="21"/>
        </w:rPr>
      </w:pPr>
      <w:r>
        <w:rPr>
          <w:rFonts w:hint="eastAsia" w:ascii="宋体" w:hAnsi="宋体" w:eastAsia="宋体" w:cs="宋体"/>
          <w:szCs w:val="21"/>
        </w:rPr>
        <w:t>三、推荐中标候选人原则：</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按评审后得分由高到低顺序排列。得分相同的，按投标报价由低到高顺序排列。得分且投标报价相同的，按技术指标优劣顺序排列。</w:t>
      </w:r>
    </w:p>
    <w:p>
      <w:pPr>
        <w:spacing w:line="440" w:lineRule="exact"/>
        <w:ind w:firstLine="480"/>
        <w:jc w:val="center"/>
        <w:rPr>
          <w:rFonts w:hint="eastAsia" w:ascii="宋体" w:hAnsi="宋体" w:eastAsia="宋体" w:cs="宋体"/>
        </w:rPr>
      </w:pPr>
      <w:r>
        <w:rPr>
          <w:rFonts w:hint="eastAsia" w:ascii="宋体" w:hAnsi="宋体" w:eastAsia="宋体" w:cs="宋体"/>
          <w:szCs w:val="21"/>
        </w:rPr>
        <w:br w:type="page"/>
      </w:r>
      <w:r>
        <w:rPr>
          <w:rFonts w:hint="eastAsia" w:ascii="宋体" w:hAnsi="宋体" w:eastAsia="宋体" w:cs="宋体"/>
          <w:b/>
          <w:bCs/>
          <w:sz w:val="24"/>
          <w:szCs w:val="24"/>
        </w:rPr>
        <w:t>（一）初步评审</w:t>
      </w:r>
    </w:p>
    <w:p>
      <w:pPr>
        <w:spacing w:line="440" w:lineRule="exact"/>
        <w:ind w:right="-21" w:rightChars="-10"/>
        <w:jc w:val="center"/>
        <w:rPr>
          <w:rFonts w:hint="eastAsia" w:ascii="宋体" w:hAnsi="宋体" w:eastAsia="宋体" w:cs="宋体"/>
          <w:sz w:val="24"/>
          <w:szCs w:val="24"/>
        </w:rPr>
      </w:pPr>
      <w:r>
        <w:rPr>
          <w:rFonts w:hint="eastAsia" w:ascii="宋体" w:hAnsi="宋体" w:eastAsia="宋体" w:cs="宋体"/>
          <w:b/>
          <w:bCs/>
          <w:sz w:val="24"/>
          <w:szCs w:val="24"/>
        </w:rPr>
        <w:t>1、资格性检查表</w:t>
      </w:r>
    </w:p>
    <w:tbl>
      <w:tblPr>
        <w:tblStyle w:val="15"/>
        <w:tblW w:w="103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8"/>
        <w:gridCol w:w="4410"/>
        <w:gridCol w:w="1830"/>
        <w:gridCol w:w="1785"/>
        <w:gridCol w:w="16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688" w:type="dxa"/>
            <w:tcBorders>
              <w:top w:val="single" w:color="auto" w:sz="12" w:space="0"/>
            </w:tcBorders>
            <w:vAlign w:val="center"/>
          </w:tcPr>
          <w:p>
            <w:pPr>
              <w:pStyle w:val="7"/>
              <w:spacing w:line="240" w:lineRule="atLeast"/>
              <w:jc w:val="center"/>
              <w:rPr>
                <w:rFonts w:hint="eastAsia" w:ascii="宋体" w:hAnsi="宋体" w:eastAsia="宋体" w:cs="宋体"/>
              </w:rPr>
            </w:pPr>
            <w:r>
              <w:rPr>
                <w:rFonts w:hint="eastAsia" w:ascii="宋体" w:hAnsi="宋体" w:eastAsia="宋体" w:cs="宋体"/>
              </w:rPr>
              <w:t>序号</w:t>
            </w:r>
          </w:p>
        </w:tc>
        <w:tc>
          <w:tcPr>
            <w:tcW w:w="4410" w:type="dxa"/>
            <w:tcBorders>
              <w:top w:val="single" w:color="auto" w:sz="12" w:space="0"/>
            </w:tcBorders>
            <w:vAlign w:val="center"/>
          </w:tcPr>
          <w:p>
            <w:pPr>
              <w:pStyle w:val="7"/>
              <w:spacing w:line="240" w:lineRule="atLeast"/>
              <w:jc w:val="center"/>
              <w:rPr>
                <w:rFonts w:hint="eastAsia" w:ascii="宋体" w:hAnsi="宋体" w:eastAsia="宋体" w:cs="宋体"/>
              </w:rPr>
            </w:pPr>
            <w:r>
              <w:rPr>
                <w:rFonts w:hint="eastAsia" w:ascii="宋体" w:hAnsi="宋体" w:eastAsia="宋体" w:cs="宋体"/>
              </w:rPr>
              <w:t>投标人</w:t>
            </w:r>
          </w:p>
        </w:tc>
        <w:tc>
          <w:tcPr>
            <w:tcW w:w="1830" w:type="dxa"/>
            <w:tcBorders>
              <w:top w:val="single" w:color="auto" w:sz="12" w:space="0"/>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top w:val="single" w:color="auto" w:sz="12" w:space="0"/>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tcBorders>
              <w:top w:val="single" w:color="auto" w:sz="12" w:space="0"/>
            </w:tcBorders>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7"/>
              <w:spacing w:line="240" w:lineRule="atLeast"/>
              <w:jc w:val="center"/>
              <w:rPr>
                <w:rFonts w:hint="eastAsia" w:ascii="宋体" w:hAnsi="宋体" w:eastAsia="宋体" w:cs="宋体"/>
              </w:rPr>
            </w:pPr>
            <w:r>
              <w:rPr>
                <w:rFonts w:hint="eastAsia" w:ascii="宋体" w:hAnsi="宋体" w:eastAsia="宋体" w:cs="宋体"/>
              </w:rPr>
              <w:t>1</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投标保证金（提供缴纳证明）</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营业执照副本（提供原件）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省外入湘企业基本情况登记或入湘施工登记证（处于有效期内）（仅省外企业提供）</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资质证书、企业安全生产许可证副本（提供原件）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6</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项目负责人（项目经理）具备有效的Ｂ类安全生产考核合格证书（提供原件）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7</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技术负责人职称证（提供原件）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8</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拟任项目负责人、技术负责人及其他关键岗位人员必须是公司职工，提供近3个月的社保证明（提供原件）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9</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施工项目部关键岗位人员证书（提供原件）</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10</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提供信用中国网站（www.creditchina.gov.cn）、中国政府采购网（www.ccgp.gov.cn）等渠道查询相关主体信用记录，对列入失信被执行人、重大税收违法案件当事人名单、政府采购严重违法失信行为记录名单网上截图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11</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highlight w:val="green"/>
              </w:rPr>
            </w:pPr>
            <w:r>
              <w:rPr>
                <w:rFonts w:hint="eastAsia" w:ascii="宋体" w:hAnsi="宋体" w:eastAsia="宋体" w:cs="宋体"/>
                <w:kern w:val="0"/>
                <w:sz w:val="21"/>
                <w:szCs w:val="21"/>
              </w:rPr>
              <w:t>投标人承诺在中国裁判文书网等近三年的刑事判决书、刑事裁定书及招标单位内党政纪处分决定书中，投标人及其法定代表人、主要负责人、工作人员无行贿记录，如经查实存在行贿行为的，招标方将有权将该供应商列入“黑名单”并实施禁入措施（提供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12</w:t>
            </w:r>
          </w:p>
        </w:tc>
        <w:tc>
          <w:tcPr>
            <w:tcW w:w="4410" w:type="dxa"/>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kern w:val="0"/>
                <w:sz w:val="21"/>
                <w:szCs w:val="21"/>
              </w:rPr>
            </w:pPr>
            <w:r>
              <w:rPr>
                <w:rFonts w:hint="eastAsia" w:ascii="宋体" w:hAnsi="宋体" w:eastAsia="宋体" w:cs="宋体"/>
                <w:kern w:val="0"/>
                <w:sz w:val="21"/>
                <w:szCs w:val="21"/>
              </w:rPr>
              <w:t>提供天眼查或企查查、企信宝等查询截图（提供能体现公司股权分配、主要人员、股东信息、企业关系等相关信息）（提供网上截图）</w:t>
            </w:r>
          </w:p>
        </w:tc>
        <w:tc>
          <w:tcPr>
            <w:tcW w:w="1830" w:type="dxa"/>
            <w:tcBorders>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621" w:type="dxa"/>
            <w:vAlign w:val="center"/>
          </w:tcPr>
          <w:p>
            <w:pPr>
              <w:pStyle w:val="14"/>
              <w:spacing w:line="240" w:lineRule="atLeast"/>
              <w:rPr>
                <w:rFonts w:hint="eastAsia" w:ascii="宋体" w:hAnsi="宋体" w:eastAsia="宋体" w:cs="宋体"/>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88" w:type="dxa"/>
            <w:tcBorders>
              <w:bottom w:val="single" w:color="auto" w:sz="12" w:space="0"/>
            </w:tcBorders>
            <w:vAlign w:val="center"/>
          </w:tcPr>
          <w:p>
            <w:pPr>
              <w:pStyle w:val="14"/>
              <w:spacing w:line="24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13</w:t>
            </w:r>
          </w:p>
        </w:tc>
        <w:tc>
          <w:tcPr>
            <w:tcW w:w="4410" w:type="dxa"/>
            <w:tcBorders>
              <w:bottom w:val="single" w:color="auto" w:sz="12" w:space="0"/>
            </w:tcBorders>
            <w:vAlign w:val="center"/>
          </w:tcPr>
          <w:p>
            <w:pPr>
              <w:pStyle w:val="10"/>
              <w:pBdr>
                <w:bottom w:val="none" w:color="auto" w:sz="0" w:space="0"/>
              </w:pBdr>
              <w:tabs>
                <w:tab w:val="clear" w:pos="4153"/>
                <w:tab w:val="clear" w:pos="8306"/>
              </w:tabs>
              <w:snapToGrid/>
              <w:spacing w:line="240" w:lineRule="atLeast"/>
              <w:rPr>
                <w:rFonts w:hint="eastAsia" w:ascii="宋体" w:hAnsi="宋体" w:eastAsia="宋体" w:cs="宋体"/>
                <w:sz w:val="21"/>
                <w:szCs w:val="21"/>
              </w:rPr>
            </w:pPr>
            <w:r>
              <w:rPr>
                <w:rFonts w:hint="eastAsia" w:ascii="宋体" w:hAnsi="宋体" w:eastAsia="宋体" w:cs="宋体"/>
                <w:sz w:val="21"/>
                <w:szCs w:val="21"/>
              </w:rPr>
              <w:t>结论</w:t>
            </w:r>
          </w:p>
        </w:tc>
        <w:tc>
          <w:tcPr>
            <w:tcW w:w="1830" w:type="dxa"/>
            <w:tcBorders>
              <w:bottom w:val="single" w:color="auto" w:sz="12" w:space="0"/>
              <w:right w:val="single" w:color="auto" w:sz="4" w:space="0"/>
            </w:tcBorders>
            <w:vAlign w:val="center"/>
          </w:tcPr>
          <w:p>
            <w:pPr>
              <w:pStyle w:val="14"/>
              <w:spacing w:line="240" w:lineRule="atLeast"/>
              <w:rPr>
                <w:rFonts w:hint="eastAsia" w:ascii="宋体" w:hAnsi="宋体" w:eastAsia="宋体" w:cs="宋体"/>
                <w:bCs w:val="0"/>
                <w:sz w:val="21"/>
                <w:szCs w:val="21"/>
              </w:rPr>
            </w:pPr>
          </w:p>
        </w:tc>
        <w:tc>
          <w:tcPr>
            <w:tcW w:w="1785" w:type="dxa"/>
            <w:tcBorders>
              <w:left w:val="single" w:color="auto" w:sz="4" w:space="0"/>
              <w:bottom w:val="single" w:color="auto" w:sz="12" w:space="0"/>
            </w:tcBorders>
            <w:vAlign w:val="center"/>
          </w:tcPr>
          <w:p>
            <w:pPr>
              <w:pStyle w:val="14"/>
              <w:spacing w:line="240" w:lineRule="atLeast"/>
              <w:rPr>
                <w:rFonts w:hint="eastAsia" w:ascii="宋体" w:hAnsi="宋体" w:eastAsia="宋体" w:cs="宋体"/>
                <w:bCs w:val="0"/>
                <w:sz w:val="21"/>
                <w:szCs w:val="21"/>
              </w:rPr>
            </w:pPr>
          </w:p>
        </w:tc>
        <w:tc>
          <w:tcPr>
            <w:tcW w:w="1621" w:type="dxa"/>
            <w:tcBorders>
              <w:bottom w:val="single" w:color="auto" w:sz="12" w:space="0"/>
            </w:tcBorders>
            <w:vAlign w:val="center"/>
          </w:tcPr>
          <w:p>
            <w:pPr>
              <w:pStyle w:val="14"/>
              <w:spacing w:line="240" w:lineRule="atLeast"/>
              <w:rPr>
                <w:rFonts w:hint="eastAsia" w:ascii="宋体" w:hAnsi="宋体" w:eastAsia="宋体" w:cs="宋体"/>
                <w:bCs w:val="0"/>
                <w:sz w:val="21"/>
                <w:szCs w:val="21"/>
              </w:rPr>
            </w:pPr>
          </w:p>
        </w:tc>
      </w:tr>
    </w:tbl>
    <w:p>
      <w:pPr>
        <w:pStyle w:val="8"/>
        <w:spacing w:after="0" w:line="440" w:lineRule="exact"/>
        <w:ind w:left="-315" w:leftChars="-150" w:right="103" w:rightChars="49"/>
        <w:rPr>
          <w:rFonts w:hint="eastAsia" w:ascii="宋体" w:hAnsi="宋体" w:eastAsia="宋体" w:cs="宋体"/>
          <w:b/>
          <w:bCs/>
          <w:sz w:val="21"/>
          <w:szCs w:val="21"/>
        </w:rPr>
      </w:pPr>
      <w:r>
        <w:rPr>
          <w:rFonts w:hint="eastAsia" w:ascii="宋体" w:hAnsi="宋体" w:eastAsia="宋体" w:cs="宋体"/>
          <w:b/>
          <w:bCs/>
          <w:sz w:val="21"/>
          <w:szCs w:val="21"/>
        </w:rPr>
        <w:t>注：以上证件均需提供原件，未提供原件的作废标处理</w:t>
      </w:r>
    </w:p>
    <w:p>
      <w:pPr>
        <w:pStyle w:val="8"/>
        <w:spacing w:after="0" w:line="440" w:lineRule="exact"/>
        <w:ind w:left="-315" w:leftChars="-150" w:right="103" w:rightChars="49"/>
        <w:rPr>
          <w:rFonts w:hint="eastAsia" w:ascii="宋体" w:hAnsi="宋体" w:eastAsia="宋体" w:cs="宋体"/>
          <w:sz w:val="21"/>
          <w:szCs w:val="21"/>
        </w:rPr>
      </w:pPr>
      <w:r>
        <w:rPr>
          <w:rFonts w:hint="eastAsia" w:ascii="宋体" w:hAnsi="宋体" w:eastAsia="宋体" w:cs="宋体"/>
          <w:sz w:val="21"/>
          <w:szCs w:val="21"/>
        </w:rPr>
        <w:t>有下述情况之一的，评标委员会认定其为不合格投标人：（1）在评标过程中，评标委员会发现投标人以他人的名义投标的；串通投标的；以行贿手段谋取中标或者以其他弄虚作假方式投标的；（2）投标人拒不按照要求对投标文件进行澄清、说明或者补正的；（3）投标文件没有投标人授权代表签字（或盖章）或者加盖公章的；（4）没有按照招标文件要求提供相关资格证明文件或者所提供的资格证明文件有瑕疵的；投标人不能提供合法的、真实的材料证明其为合格投标人的；（5）投标人资格条件不符合国家有关规定或者招标文件要求的；其它不能满足法律法规资格性规定的。（6）结论填写“合格”或“不合格”，不合格的投标人不进入下一轮评议。</w:t>
      </w:r>
    </w:p>
    <w:p>
      <w:pPr>
        <w:pStyle w:val="8"/>
        <w:spacing w:line="440" w:lineRule="exact"/>
        <w:ind w:left="-359" w:leftChars="-171" w:firstLine="314" w:firstLineChars="149"/>
        <w:rPr>
          <w:rFonts w:hint="eastAsia" w:ascii="宋体" w:hAnsi="宋体" w:eastAsia="宋体" w:cs="宋体"/>
          <w:b/>
          <w:sz w:val="21"/>
          <w:szCs w:val="21"/>
        </w:rPr>
      </w:pPr>
      <w:r>
        <w:rPr>
          <w:rFonts w:hint="eastAsia" w:ascii="宋体" w:hAnsi="宋体" w:eastAsia="宋体" w:cs="宋体"/>
          <w:b/>
          <w:sz w:val="21"/>
          <w:szCs w:val="21"/>
        </w:rPr>
        <w:t>评委签字：</w:t>
      </w:r>
    </w:p>
    <w:p>
      <w:pPr>
        <w:spacing w:line="440" w:lineRule="exact"/>
        <w:ind w:right="-21" w:rightChars="-10"/>
        <w:jc w:val="center"/>
        <w:rPr>
          <w:rFonts w:hint="eastAsia" w:ascii="宋体" w:hAnsi="宋体" w:eastAsia="宋体" w:cs="宋体"/>
          <w:bCs/>
          <w:sz w:val="28"/>
          <w:szCs w:val="28"/>
        </w:rPr>
      </w:pPr>
      <w:r>
        <w:rPr>
          <w:rFonts w:hint="eastAsia" w:ascii="宋体" w:hAnsi="宋体" w:eastAsia="宋体" w:cs="宋体"/>
          <w:b/>
          <w:bCs/>
          <w:szCs w:val="21"/>
        </w:rPr>
        <w:br w:type="page"/>
      </w:r>
      <w:r>
        <w:rPr>
          <w:rFonts w:hint="eastAsia" w:ascii="宋体" w:hAnsi="宋体" w:eastAsia="宋体" w:cs="宋体"/>
          <w:b/>
          <w:bCs/>
          <w:sz w:val="24"/>
          <w:szCs w:val="24"/>
        </w:rPr>
        <w:t>2、形式评审表</w:t>
      </w:r>
    </w:p>
    <w:tbl>
      <w:tblPr>
        <w:tblStyle w:val="15"/>
        <w:tblpPr w:leftFromText="180" w:rightFromText="180" w:vertAnchor="text" w:horzAnchor="margin" w:tblpXSpec="center" w:tblpY="55"/>
        <w:tblW w:w="102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1590"/>
        <w:gridCol w:w="950"/>
        <w:gridCol w:w="825"/>
        <w:gridCol w:w="738"/>
        <w:gridCol w:w="1000"/>
        <w:gridCol w:w="3678"/>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trPr>
        <w:tc>
          <w:tcPr>
            <w:tcW w:w="525" w:type="dxa"/>
            <w:vMerge w:val="restart"/>
            <w:tcBorders>
              <w:top w:val="single" w:color="auto" w:sz="12" w:space="0"/>
            </w:tcBorders>
            <w:vAlign w:val="center"/>
          </w:tcPr>
          <w:p>
            <w:pPr>
              <w:widowControl/>
              <w:spacing w:line="440" w:lineRule="exact"/>
              <w:rPr>
                <w:rFonts w:hint="eastAsia" w:ascii="宋体" w:hAnsi="宋体" w:eastAsia="宋体" w:cs="宋体"/>
                <w:szCs w:val="21"/>
              </w:rPr>
            </w:pPr>
            <w:r>
              <w:rPr>
                <w:rFonts w:hint="eastAsia" w:ascii="宋体" w:hAnsi="宋体" w:eastAsia="宋体" w:cs="宋体"/>
                <w:szCs w:val="21"/>
              </w:rPr>
              <w:t>序</w:t>
            </w:r>
          </w:p>
          <w:p>
            <w:pPr>
              <w:widowControl/>
              <w:spacing w:line="440" w:lineRule="exact"/>
              <w:rPr>
                <w:rFonts w:hint="eastAsia" w:ascii="宋体" w:hAnsi="宋体" w:eastAsia="宋体" w:cs="宋体"/>
                <w:szCs w:val="21"/>
              </w:rPr>
            </w:pPr>
            <w:r>
              <w:rPr>
                <w:rFonts w:hint="eastAsia" w:ascii="宋体" w:hAnsi="宋体" w:eastAsia="宋体" w:cs="宋体"/>
                <w:szCs w:val="21"/>
              </w:rPr>
              <w:t>号</w:t>
            </w:r>
          </w:p>
        </w:tc>
        <w:tc>
          <w:tcPr>
            <w:tcW w:w="1590" w:type="dxa"/>
            <w:vMerge w:val="restart"/>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投标人</w:t>
            </w:r>
          </w:p>
        </w:tc>
        <w:tc>
          <w:tcPr>
            <w:tcW w:w="1775" w:type="dxa"/>
            <w:gridSpan w:val="2"/>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完整性</w:t>
            </w:r>
          </w:p>
        </w:tc>
        <w:tc>
          <w:tcPr>
            <w:tcW w:w="5416" w:type="dxa"/>
            <w:gridSpan w:val="3"/>
            <w:tcBorders>
              <w:top w:val="single" w:color="auto" w:sz="12" w:space="0"/>
            </w:tcBorders>
            <w:vAlign w:val="center"/>
          </w:tcPr>
          <w:p>
            <w:pPr>
              <w:widowControl/>
              <w:spacing w:line="440" w:lineRule="exact"/>
              <w:jc w:val="center"/>
              <w:rPr>
                <w:rFonts w:hint="eastAsia" w:ascii="宋体" w:hAnsi="宋体" w:eastAsia="宋体" w:cs="宋体"/>
                <w:szCs w:val="21"/>
              </w:rPr>
            </w:pPr>
            <w:r>
              <w:rPr>
                <w:rFonts w:hint="eastAsia" w:ascii="宋体" w:hAnsi="宋体" w:eastAsia="宋体" w:cs="宋体"/>
                <w:szCs w:val="21"/>
              </w:rPr>
              <w:t>实质性响应</w:t>
            </w:r>
          </w:p>
        </w:tc>
        <w:tc>
          <w:tcPr>
            <w:tcW w:w="900" w:type="dxa"/>
            <w:vMerge w:val="restart"/>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525" w:type="dxa"/>
            <w:vMerge w:val="continue"/>
            <w:vAlign w:val="center"/>
          </w:tcPr>
          <w:p>
            <w:pPr>
              <w:widowControl/>
              <w:spacing w:line="440" w:lineRule="exact"/>
              <w:rPr>
                <w:rFonts w:hint="eastAsia" w:ascii="宋体" w:hAnsi="宋体" w:eastAsia="宋体" w:cs="宋体"/>
                <w:kern w:val="0"/>
                <w:szCs w:val="21"/>
              </w:rPr>
            </w:pPr>
          </w:p>
        </w:tc>
        <w:tc>
          <w:tcPr>
            <w:tcW w:w="1590" w:type="dxa"/>
            <w:vMerge w:val="continue"/>
            <w:vAlign w:val="center"/>
          </w:tcPr>
          <w:p>
            <w:pPr>
              <w:widowControl/>
              <w:spacing w:line="440" w:lineRule="exact"/>
              <w:rPr>
                <w:rFonts w:hint="eastAsia" w:ascii="宋体" w:hAnsi="宋体" w:eastAsia="宋体" w:cs="宋体"/>
                <w:kern w:val="0"/>
                <w:szCs w:val="21"/>
              </w:rPr>
            </w:pPr>
          </w:p>
        </w:tc>
        <w:tc>
          <w:tcPr>
            <w:tcW w:w="950"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投标文件的组成</w:t>
            </w:r>
          </w:p>
        </w:tc>
        <w:tc>
          <w:tcPr>
            <w:tcW w:w="825"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投标文件的格式</w:t>
            </w:r>
          </w:p>
        </w:tc>
        <w:tc>
          <w:tcPr>
            <w:tcW w:w="738"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报价范围</w:t>
            </w:r>
          </w:p>
        </w:tc>
        <w:tc>
          <w:tcPr>
            <w:tcW w:w="1000"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投标有效期</w:t>
            </w:r>
          </w:p>
        </w:tc>
        <w:tc>
          <w:tcPr>
            <w:tcW w:w="3678" w:type="dxa"/>
            <w:vAlign w:val="center"/>
          </w:tcPr>
          <w:p>
            <w:pPr>
              <w:widowControl/>
              <w:spacing w:line="240" w:lineRule="atLeast"/>
              <w:jc w:val="center"/>
              <w:rPr>
                <w:rFonts w:hint="eastAsia" w:ascii="宋体" w:hAnsi="宋体" w:eastAsia="宋体" w:cs="宋体"/>
                <w:szCs w:val="21"/>
              </w:rPr>
            </w:pPr>
            <w:r>
              <w:rPr>
                <w:rFonts w:hint="eastAsia" w:ascii="宋体" w:hAnsi="宋体" w:eastAsia="宋体" w:cs="宋体"/>
                <w:szCs w:val="21"/>
              </w:rPr>
              <w:t>符合招标文件所有条款、条件且没有重大偏离或保留（招标文件中标注“★”号的主要指标，对这些条款的任何偏离将导致废标；）以及法律法规规定的废标条款</w:t>
            </w:r>
          </w:p>
        </w:tc>
        <w:tc>
          <w:tcPr>
            <w:tcW w:w="900" w:type="dxa"/>
            <w:vMerge w:val="continue"/>
            <w:vAlign w:val="center"/>
          </w:tcPr>
          <w:p>
            <w:pPr>
              <w:widowControl/>
              <w:spacing w:line="440" w:lineRule="exact"/>
              <w:jc w:val="left"/>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1</w:t>
            </w:r>
          </w:p>
        </w:tc>
        <w:tc>
          <w:tcPr>
            <w:tcW w:w="1590" w:type="dxa"/>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vAlign w:val="center"/>
          </w:tcPr>
          <w:p>
            <w:pPr>
              <w:pStyle w:val="7"/>
              <w:spacing w:line="440" w:lineRule="exact"/>
              <w:jc w:val="center"/>
              <w:rPr>
                <w:rFonts w:hint="eastAsia" w:ascii="宋体" w:hAnsi="宋体" w:eastAsia="宋体" w:cs="宋体"/>
              </w:rPr>
            </w:pPr>
          </w:p>
        </w:tc>
        <w:tc>
          <w:tcPr>
            <w:tcW w:w="825" w:type="dxa"/>
            <w:vAlign w:val="center"/>
          </w:tcPr>
          <w:p>
            <w:pPr>
              <w:pStyle w:val="7"/>
              <w:spacing w:line="440" w:lineRule="exact"/>
              <w:jc w:val="center"/>
              <w:rPr>
                <w:rFonts w:hint="eastAsia" w:ascii="宋体" w:hAnsi="宋体" w:eastAsia="宋体" w:cs="宋体"/>
              </w:rPr>
            </w:pPr>
          </w:p>
        </w:tc>
        <w:tc>
          <w:tcPr>
            <w:tcW w:w="738" w:type="dxa"/>
            <w:vAlign w:val="center"/>
          </w:tcPr>
          <w:p>
            <w:pPr>
              <w:pStyle w:val="7"/>
              <w:spacing w:line="440" w:lineRule="exact"/>
              <w:jc w:val="center"/>
              <w:rPr>
                <w:rFonts w:hint="eastAsia" w:ascii="宋体" w:hAnsi="宋体" w:eastAsia="宋体" w:cs="宋体"/>
              </w:rPr>
            </w:pPr>
          </w:p>
        </w:tc>
        <w:tc>
          <w:tcPr>
            <w:tcW w:w="1000" w:type="dxa"/>
            <w:vAlign w:val="center"/>
          </w:tcPr>
          <w:p>
            <w:pPr>
              <w:pStyle w:val="7"/>
              <w:spacing w:line="440" w:lineRule="exact"/>
              <w:jc w:val="center"/>
              <w:rPr>
                <w:rFonts w:hint="eastAsia" w:ascii="宋体" w:hAnsi="宋体" w:eastAsia="宋体" w:cs="宋体"/>
              </w:rPr>
            </w:pPr>
          </w:p>
        </w:tc>
        <w:tc>
          <w:tcPr>
            <w:tcW w:w="3678" w:type="dxa"/>
            <w:vAlign w:val="center"/>
          </w:tcPr>
          <w:p>
            <w:pPr>
              <w:pStyle w:val="7"/>
              <w:spacing w:line="440" w:lineRule="exact"/>
              <w:jc w:val="center"/>
              <w:rPr>
                <w:rFonts w:hint="eastAsia" w:ascii="宋体" w:hAnsi="宋体" w:eastAsia="宋体" w:cs="宋体"/>
              </w:rPr>
            </w:pPr>
          </w:p>
        </w:tc>
        <w:tc>
          <w:tcPr>
            <w:tcW w:w="900" w:type="dxa"/>
            <w:vAlign w:val="center"/>
          </w:tcPr>
          <w:p>
            <w:pPr>
              <w:pStyle w:val="7"/>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2</w:t>
            </w:r>
          </w:p>
        </w:tc>
        <w:tc>
          <w:tcPr>
            <w:tcW w:w="1590" w:type="dxa"/>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vAlign w:val="center"/>
          </w:tcPr>
          <w:p>
            <w:pPr>
              <w:pStyle w:val="7"/>
              <w:spacing w:line="440" w:lineRule="exact"/>
              <w:jc w:val="center"/>
              <w:rPr>
                <w:rFonts w:hint="eastAsia" w:ascii="宋体" w:hAnsi="宋体" w:eastAsia="宋体" w:cs="宋体"/>
              </w:rPr>
            </w:pPr>
          </w:p>
        </w:tc>
        <w:tc>
          <w:tcPr>
            <w:tcW w:w="825" w:type="dxa"/>
            <w:vAlign w:val="center"/>
          </w:tcPr>
          <w:p>
            <w:pPr>
              <w:pStyle w:val="7"/>
              <w:spacing w:line="440" w:lineRule="exact"/>
              <w:jc w:val="center"/>
              <w:rPr>
                <w:rFonts w:hint="eastAsia" w:ascii="宋体" w:hAnsi="宋体" w:eastAsia="宋体" w:cs="宋体"/>
              </w:rPr>
            </w:pPr>
          </w:p>
        </w:tc>
        <w:tc>
          <w:tcPr>
            <w:tcW w:w="738" w:type="dxa"/>
            <w:vAlign w:val="center"/>
          </w:tcPr>
          <w:p>
            <w:pPr>
              <w:pStyle w:val="7"/>
              <w:spacing w:line="440" w:lineRule="exact"/>
              <w:jc w:val="center"/>
              <w:rPr>
                <w:rFonts w:hint="eastAsia" w:ascii="宋体" w:hAnsi="宋体" w:eastAsia="宋体" w:cs="宋体"/>
              </w:rPr>
            </w:pPr>
          </w:p>
        </w:tc>
        <w:tc>
          <w:tcPr>
            <w:tcW w:w="1000" w:type="dxa"/>
            <w:vAlign w:val="center"/>
          </w:tcPr>
          <w:p>
            <w:pPr>
              <w:pStyle w:val="7"/>
              <w:spacing w:line="440" w:lineRule="exact"/>
              <w:jc w:val="center"/>
              <w:rPr>
                <w:rFonts w:hint="eastAsia" w:ascii="宋体" w:hAnsi="宋体" w:eastAsia="宋体" w:cs="宋体"/>
              </w:rPr>
            </w:pPr>
          </w:p>
        </w:tc>
        <w:tc>
          <w:tcPr>
            <w:tcW w:w="3678" w:type="dxa"/>
            <w:vAlign w:val="center"/>
          </w:tcPr>
          <w:p>
            <w:pPr>
              <w:pStyle w:val="7"/>
              <w:spacing w:line="440" w:lineRule="exact"/>
              <w:jc w:val="center"/>
              <w:rPr>
                <w:rFonts w:hint="eastAsia" w:ascii="宋体" w:hAnsi="宋体" w:eastAsia="宋体" w:cs="宋体"/>
              </w:rPr>
            </w:pPr>
          </w:p>
        </w:tc>
        <w:tc>
          <w:tcPr>
            <w:tcW w:w="900" w:type="dxa"/>
            <w:vAlign w:val="center"/>
          </w:tcPr>
          <w:p>
            <w:pPr>
              <w:pStyle w:val="7"/>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525" w:type="dxa"/>
            <w:tcBorders>
              <w:bottom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3</w:t>
            </w:r>
          </w:p>
        </w:tc>
        <w:tc>
          <w:tcPr>
            <w:tcW w:w="1590" w:type="dxa"/>
            <w:tcBorders>
              <w:bottom w:val="single" w:color="auto" w:sz="12" w:space="0"/>
            </w:tcBorders>
            <w:vAlign w:val="center"/>
          </w:tcPr>
          <w:p>
            <w:pPr>
              <w:pStyle w:val="10"/>
              <w:pBdr>
                <w:bottom w:val="none" w:color="auto" w:sz="0" w:space="0"/>
              </w:pBdr>
              <w:tabs>
                <w:tab w:val="left" w:pos="420"/>
              </w:tabs>
              <w:snapToGrid/>
              <w:spacing w:line="440" w:lineRule="exact"/>
              <w:rPr>
                <w:rFonts w:hint="eastAsia" w:ascii="宋体" w:hAnsi="宋体" w:eastAsia="宋体" w:cs="宋体"/>
                <w:sz w:val="21"/>
                <w:szCs w:val="21"/>
              </w:rPr>
            </w:pPr>
          </w:p>
        </w:tc>
        <w:tc>
          <w:tcPr>
            <w:tcW w:w="950"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825"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738"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1000"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3678" w:type="dxa"/>
            <w:tcBorders>
              <w:bottom w:val="single" w:color="auto" w:sz="12" w:space="0"/>
            </w:tcBorders>
            <w:vAlign w:val="center"/>
          </w:tcPr>
          <w:p>
            <w:pPr>
              <w:pStyle w:val="7"/>
              <w:spacing w:line="440" w:lineRule="exact"/>
              <w:jc w:val="center"/>
              <w:rPr>
                <w:rFonts w:hint="eastAsia" w:ascii="宋体" w:hAnsi="宋体" w:eastAsia="宋体" w:cs="宋体"/>
              </w:rPr>
            </w:pPr>
          </w:p>
        </w:tc>
        <w:tc>
          <w:tcPr>
            <w:tcW w:w="900" w:type="dxa"/>
            <w:tcBorders>
              <w:bottom w:val="single" w:color="auto" w:sz="12" w:space="0"/>
            </w:tcBorders>
            <w:vAlign w:val="center"/>
          </w:tcPr>
          <w:p>
            <w:pPr>
              <w:pStyle w:val="7"/>
              <w:spacing w:line="440" w:lineRule="exact"/>
              <w:jc w:val="center"/>
              <w:rPr>
                <w:rFonts w:hint="eastAsia" w:ascii="宋体" w:hAnsi="宋体" w:eastAsia="宋体" w:cs="宋体"/>
              </w:rPr>
            </w:pPr>
          </w:p>
        </w:tc>
      </w:tr>
    </w:tbl>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注：有下述情况之一的，评标委员会认定其为不合格投标人：</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（1）投标文件载明的投标范围小于招标文件规定的招标范围的；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（2）投标文件附有招标人不能接受的条件的；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（3）其它未能实质响应招标文件条件和要求的；</w:t>
      </w:r>
    </w:p>
    <w:p>
      <w:pPr>
        <w:spacing w:line="440" w:lineRule="exact"/>
        <w:ind w:right="-468" w:rightChars="-223"/>
        <w:rPr>
          <w:rFonts w:hint="eastAsia" w:ascii="宋体" w:hAnsi="宋体" w:eastAsia="宋体" w:cs="宋体"/>
          <w:bCs/>
          <w:szCs w:val="21"/>
        </w:rPr>
      </w:pPr>
      <w:r>
        <w:rPr>
          <w:rFonts w:hint="eastAsia" w:ascii="宋体" w:hAnsi="宋体" w:eastAsia="宋体" w:cs="宋体"/>
          <w:bCs/>
          <w:szCs w:val="21"/>
        </w:rPr>
        <w:t>（4）结论填写“合格”或“不合格”，不合格的投标人不进入下一轮评议。</w:t>
      </w:r>
    </w:p>
    <w:p>
      <w:pPr>
        <w:spacing w:line="440" w:lineRule="exact"/>
        <w:ind w:right="-468" w:rightChars="-223"/>
        <w:rPr>
          <w:rFonts w:hint="eastAsia" w:ascii="宋体" w:hAnsi="宋体" w:eastAsia="宋体" w:cs="宋体"/>
          <w:b/>
          <w:bCs/>
          <w:szCs w:val="21"/>
        </w:rPr>
      </w:pPr>
      <w:r>
        <w:rPr>
          <w:rFonts w:hint="eastAsia" w:ascii="宋体" w:hAnsi="宋体" w:eastAsia="宋体" w:cs="宋体"/>
          <w:b/>
          <w:bCs/>
          <w:szCs w:val="21"/>
        </w:rPr>
        <w:t>评委签字：</w:t>
      </w:r>
    </w:p>
    <w:p>
      <w:pPr>
        <w:spacing w:line="440" w:lineRule="exact"/>
        <w:ind w:right="-1413" w:rightChars="-673"/>
        <w:rPr>
          <w:rFonts w:hint="eastAsia" w:ascii="宋体" w:hAnsi="宋体" w:eastAsia="宋体" w:cs="宋体"/>
          <w:b/>
          <w:bCs/>
          <w:szCs w:val="21"/>
        </w:rPr>
      </w:pPr>
      <w:r>
        <w:rPr>
          <w:rFonts w:hint="eastAsia" w:ascii="宋体" w:hAnsi="宋体" w:eastAsia="宋体" w:cs="宋体"/>
          <w:b/>
          <w:bCs/>
          <w:szCs w:val="21"/>
        </w:rPr>
        <w:br w:type="page"/>
      </w:r>
    </w:p>
    <w:p>
      <w:pPr>
        <w:numPr>
          <w:ilvl w:val="0"/>
          <w:numId w:val="5"/>
        </w:numPr>
        <w:spacing w:line="440" w:lineRule="exact"/>
        <w:ind w:right="-1413" w:rightChars="-673" w:firstLine="2409" w:firstLineChars="1000"/>
        <w:jc w:val="both"/>
        <w:rPr>
          <w:rFonts w:hint="eastAsia" w:ascii="宋体" w:hAnsi="宋体" w:eastAsia="宋体" w:cs="宋体"/>
          <w:b/>
          <w:bCs/>
          <w:sz w:val="24"/>
          <w:szCs w:val="24"/>
        </w:rPr>
      </w:pPr>
      <w:r>
        <w:rPr>
          <w:rFonts w:hint="eastAsia" w:ascii="宋体" w:hAnsi="宋体" w:eastAsia="宋体" w:cs="宋体"/>
          <w:b/>
          <w:bCs/>
          <w:sz w:val="24"/>
          <w:szCs w:val="24"/>
        </w:rPr>
        <w:t>澄清、说明、补正事项纪要表</w:t>
      </w:r>
    </w:p>
    <w:p>
      <w:pPr>
        <w:pStyle w:val="2"/>
        <w:numPr>
          <w:ilvl w:val="0"/>
          <w:numId w:val="0"/>
        </w:numPr>
        <w:rPr>
          <w:rFonts w:hint="eastAsia"/>
        </w:rPr>
      </w:pPr>
    </w:p>
    <w:tbl>
      <w:tblPr>
        <w:tblStyle w:val="15"/>
        <w:tblW w:w="10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946"/>
        <w:gridCol w:w="1679"/>
        <w:gridCol w:w="1679"/>
        <w:gridCol w:w="1679"/>
        <w:gridCol w:w="1679"/>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21" w:hRule="exact"/>
          <w:jc w:val="center"/>
        </w:trPr>
        <w:tc>
          <w:tcPr>
            <w:tcW w:w="1440"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序号</w:t>
            </w:r>
          </w:p>
        </w:tc>
        <w:tc>
          <w:tcPr>
            <w:tcW w:w="946"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投标人</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招标文件中需要澄清的页次</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对投标文件中含义不明确</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对同类问题</w:t>
            </w:r>
          </w:p>
          <w:p>
            <w:pPr>
              <w:pStyle w:val="7"/>
              <w:spacing w:line="440" w:lineRule="exact"/>
              <w:jc w:val="center"/>
              <w:rPr>
                <w:rFonts w:hint="eastAsia" w:ascii="宋体" w:hAnsi="宋体" w:eastAsia="宋体" w:cs="宋体"/>
              </w:rPr>
            </w:pPr>
            <w:r>
              <w:rPr>
                <w:rFonts w:hint="eastAsia" w:ascii="宋体" w:hAnsi="宋体" w:eastAsia="宋体" w:cs="宋体"/>
              </w:rPr>
              <w:t>表述不一致</w:t>
            </w:r>
          </w:p>
        </w:tc>
        <w:tc>
          <w:tcPr>
            <w:tcW w:w="1679"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明显文字和计算错误的内容</w:t>
            </w:r>
          </w:p>
        </w:tc>
        <w:tc>
          <w:tcPr>
            <w:tcW w:w="1112" w:type="dxa"/>
            <w:tcBorders>
              <w:top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1</w:t>
            </w:r>
          </w:p>
        </w:tc>
        <w:tc>
          <w:tcPr>
            <w:tcW w:w="946"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112" w:type="dxa"/>
            <w:vAlign w:val="center"/>
          </w:tcPr>
          <w:p>
            <w:pPr>
              <w:pStyle w:val="14"/>
              <w:spacing w:line="440" w:lineRule="exact"/>
              <w:rPr>
                <w:rFonts w:hint="eastAsia" w:ascii="宋体" w:hAnsi="宋体" w:eastAsia="宋体" w:cs="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vAlign w:val="center"/>
          </w:tcPr>
          <w:p>
            <w:pPr>
              <w:pStyle w:val="7"/>
              <w:spacing w:line="440" w:lineRule="exact"/>
              <w:jc w:val="center"/>
              <w:rPr>
                <w:rFonts w:hint="eastAsia" w:ascii="宋体" w:hAnsi="宋体" w:eastAsia="宋体" w:cs="宋体"/>
              </w:rPr>
            </w:pPr>
            <w:r>
              <w:rPr>
                <w:rFonts w:hint="eastAsia" w:ascii="宋体" w:hAnsi="宋体" w:eastAsia="宋体" w:cs="宋体"/>
              </w:rPr>
              <w:t>2</w:t>
            </w:r>
          </w:p>
        </w:tc>
        <w:tc>
          <w:tcPr>
            <w:tcW w:w="946"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spacing w:line="440" w:lineRule="exact"/>
              <w:jc w:val="center"/>
              <w:rPr>
                <w:rFonts w:hint="eastAsia" w:ascii="宋体" w:hAnsi="宋体" w:eastAsia="宋体" w:cs="宋体"/>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679" w:type="dxa"/>
            <w:vAlign w:val="center"/>
          </w:tcPr>
          <w:p>
            <w:pPr>
              <w:pStyle w:val="14"/>
              <w:spacing w:line="440" w:lineRule="exact"/>
              <w:rPr>
                <w:rFonts w:hint="eastAsia" w:ascii="宋体" w:hAnsi="宋体" w:eastAsia="宋体" w:cs="宋体"/>
                <w:b w:val="0"/>
                <w:bCs w:val="0"/>
                <w:sz w:val="21"/>
                <w:szCs w:val="21"/>
              </w:rPr>
            </w:pPr>
          </w:p>
        </w:tc>
        <w:tc>
          <w:tcPr>
            <w:tcW w:w="1112" w:type="dxa"/>
            <w:vAlign w:val="center"/>
          </w:tcPr>
          <w:p>
            <w:pPr>
              <w:pStyle w:val="14"/>
              <w:spacing w:line="440" w:lineRule="exact"/>
              <w:rPr>
                <w:rFonts w:hint="eastAsia" w:ascii="宋体" w:hAnsi="宋体" w:eastAsia="宋体" w:cs="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440" w:type="dxa"/>
            <w:tcBorders>
              <w:bottom w:val="single" w:color="auto" w:sz="12" w:space="0"/>
            </w:tcBorders>
            <w:vAlign w:val="center"/>
          </w:tcPr>
          <w:p>
            <w:pPr>
              <w:pStyle w:val="7"/>
              <w:spacing w:line="440" w:lineRule="exact"/>
              <w:jc w:val="center"/>
              <w:rPr>
                <w:rFonts w:hint="eastAsia" w:ascii="宋体" w:hAnsi="宋体" w:eastAsia="宋体" w:cs="宋体"/>
              </w:rPr>
            </w:pPr>
            <w:r>
              <w:rPr>
                <w:rFonts w:hint="eastAsia" w:ascii="宋体" w:hAnsi="宋体" w:eastAsia="宋体" w:cs="宋体"/>
              </w:rPr>
              <w:t>3</w:t>
            </w:r>
          </w:p>
        </w:tc>
        <w:tc>
          <w:tcPr>
            <w:tcW w:w="946"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spacing w:line="440" w:lineRule="exact"/>
              <w:jc w:val="center"/>
              <w:rPr>
                <w:rFonts w:hint="eastAsia" w:ascii="宋体" w:hAnsi="宋体" w:eastAsia="宋体" w:cs="宋体"/>
                <w:szCs w:val="21"/>
              </w:rPr>
            </w:pPr>
          </w:p>
        </w:tc>
        <w:tc>
          <w:tcPr>
            <w:tcW w:w="1679"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c>
          <w:tcPr>
            <w:tcW w:w="1679"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c>
          <w:tcPr>
            <w:tcW w:w="1112" w:type="dxa"/>
            <w:tcBorders>
              <w:bottom w:val="single" w:color="auto" w:sz="12" w:space="0"/>
            </w:tcBorders>
            <w:vAlign w:val="center"/>
          </w:tcPr>
          <w:p>
            <w:pPr>
              <w:pStyle w:val="14"/>
              <w:spacing w:line="440" w:lineRule="exact"/>
              <w:rPr>
                <w:rFonts w:hint="eastAsia" w:ascii="宋体" w:hAnsi="宋体" w:eastAsia="宋体" w:cs="宋体"/>
                <w:b w:val="0"/>
                <w:bCs w:val="0"/>
                <w:sz w:val="21"/>
                <w:szCs w:val="21"/>
              </w:rPr>
            </w:pPr>
          </w:p>
        </w:tc>
      </w:tr>
    </w:tbl>
    <w:p>
      <w:pPr>
        <w:spacing w:line="440" w:lineRule="exact"/>
        <w:ind w:right="-53" w:rightChars="-25"/>
        <w:rPr>
          <w:rFonts w:hint="eastAsia" w:ascii="宋体" w:hAnsi="宋体" w:eastAsia="宋体" w:cs="宋体"/>
          <w:kern w:val="0"/>
          <w:szCs w:val="21"/>
        </w:rPr>
      </w:pPr>
      <w:r>
        <w:rPr>
          <w:rFonts w:hint="eastAsia" w:ascii="宋体" w:hAnsi="宋体" w:eastAsia="宋体" w:cs="宋体"/>
          <w:bCs/>
          <w:szCs w:val="21"/>
        </w:rPr>
        <w:t>注：（1）</w:t>
      </w:r>
      <w:r>
        <w:rPr>
          <w:rFonts w:hint="eastAsia" w:ascii="宋体" w:hAnsi="宋体" w:eastAsia="宋体" w:cs="宋体"/>
          <w:kern w:val="0"/>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spacing w:line="440" w:lineRule="exact"/>
        <w:ind w:right="-53" w:rightChars="-25"/>
        <w:rPr>
          <w:rFonts w:hint="eastAsia" w:ascii="宋体" w:hAnsi="宋体" w:eastAsia="宋体" w:cs="宋体"/>
          <w:bCs/>
          <w:szCs w:val="21"/>
        </w:rPr>
      </w:pPr>
      <w:r>
        <w:rPr>
          <w:rFonts w:hint="eastAsia" w:ascii="宋体" w:hAnsi="宋体" w:eastAsia="宋体" w:cs="宋体"/>
          <w:bCs/>
          <w:szCs w:val="21"/>
        </w:rPr>
        <w:t>（2）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spacing w:line="440" w:lineRule="exact"/>
        <w:rPr>
          <w:rFonts w:hint="eastAsia" w:ascii="宋体" w:hAnsi="宋体" w:eastAsia="宋体" w:cs="宋体"/>
          <w:b/>
          <w:bCs/>
          <w:szCs w:val="21"/>
        </w:rPr>
      </w:pPr>
      <w:r>
        <w:rPr>
          <w:rFonts w:hint="eastAsia" w:ascii="宋体" w:hAnsi="宋体" w:eastAsia="宋体" w:cs="宋体"/>
          <w:bCs/>
          <w:szCs w:val="21"/>
        </w:rPr>
        <w:t>（3）结论填写“合格”或“不合格”，不合格的投标人不进入下一轮评议。</w:t>
      </w:r>
    </w:p>
    <w:p>
      <w:pPr>
        <w:pStyle w:val="8"/>
        <w:spacing w:after="0" w:line="440" w:lineRule="exact"/>
        <w:ind w:left="0" w:leftChars="0" w:right="277" w:rightChars="132"/>
        <w:rPr>
          <w:rFonts w:hint="eastAsia" w:ascii="宋体" w:hAnsi="宋体" w:eastAsia="宋体" w:cs="宋体"/>
          <w:b/>
          <w:bCs/>
          <w:sz w:val="21"/>
          <w:szCs w:val="21"/>
        </w:rPr>
      </w:pPr>
      <w:r>
        <w:rPr>
          <w:rFonts w:hint="eastAsia" w:ascii="宋体" w:hAnsi="宋体" w:eastAsia="宋体" w:cs="宋体"/>
          <w:b/>
          <w:sz w:val="21"/>
          <w:szCs w:val="21"/>
        </w:rPr>
        <w:t>评委签字</w:t>
      </w:r>
      <w:r>
        <w:rPr>
          <w:rFonts w:hint="eastAsia" w:ascii="宋体" w:hAnsi="宋体" w:eastAsia="宋体" w:cs="宋体"/>
          <w:sz w:val="21"/>
          <w:szCs w:val="21"/>
        </w:rPr>
        <w:t>：</w:t>
      </w:r>
    </w:p>
    <w:p>
      <w:pPr>
        <w:spacing w:line="440" w:lineRule="exact"/>
        <w:ind w:right="-1413" w:rightChars="-673"/>
        <w:rPr>
          <w:rFonts w:hint="eastAsia" w:ascii="宋体" w:hAnsi="宋体" w:eastAsia="宋体" w:cs="宋体"/>
          <w:b/>
          <w:bCs/>
          <w:szCs w:val="21"/>
        </w:rPr>
      </w:pPr>
    </w:p>
    <w:p>
      <w:pPr>
        <w:spacing w:line="440" w:lineRule="exact"/>
        <w:ind w:right="-1413" w:rightChars="-673"/>
        <w:rPr>
          <w:rFonts w:hint="eastAsia" w:ascii="宋体" w:hAnsi="宋体" w:eastAsia="宋体" w:cs="宋体"/>
          <w:b/>
          <w:bCs/>
          <w:szCs w:val="21"/>
        </w:rPr>
      </w:pPr>
    </w:p>
    <w:p>
      <w:pPr>
        <w:numPr>
          <w:ilvl w:val="0"/>
          <w:numId w:val="6"/>
        </w:numPr>
        <w:spacing w:line="440" w:lineRule="exact"/>
        <w:jc w:val="center"/>
        <w:rPr>
          <w:rFonts w:hint="eastAsia" w:ascii="宋体" w:hAnsi="宋体" w:eastAsia="宋体" w:cs="宋体"/>
          <w:b/>
          <w:bCs/>
          <w:szCs w:val="21"/>
        </w:rPr>
      </w:pPr>
      <w:r>
        <w:rPr>
          <w:rFonts w:hint="eastAsia" w:ascii="宋体" w:hAnsi="宋体" w:eastAsia="宋体" w:cs="宋体"/>
          <w:b/>
          <w:bCs/>
          <w:szCs w:val="21"/>
        </w:rPr>
        <w:br w:type="page"/>
      </w:r>
      <w:r>
        <w:rPr>
          <w:rFonts w:hint="eastAsia" w:ascii="宋体" w:hAnsi="宋体" w:eastAsia="宋体" w:cs="宋体"/>
          <w:b/>
          <w:bCs/>
          <w:sz w:val="22"/>
          <w:szCs w:val="22"/>
        </w:rPr>
        <w:t>评分标准：评标细则</w:t>
      </w:r>
    </w:p>
    <w:tbl>
      <w:tblPr>
        <w:tblStyle w:val="15"/>
        <w:tblW w:w="10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55"/>
        <w:gridCol w:w="1183"/>
        <w:gridCol w:w="4359"/>
        <w:gridCol w:w="15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指标</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310"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b/>
                <w:bCs/>
                <w:kern w:val="0"/>
                <w:szCs w:val="21"/>
              </w:rPr>
              <w:t>价格指标（30分）</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30分</w:t>
            </w:r>
          </w:p>
        </w:tc>
        <w:tc>
          <w:tcPr>
            <w:tcW w:w="6867" w:type="dxa"/>
            <w:gridSpan w:val="3"/>
            <w:tcBorders>
              <w:tl2br w:val="nil"/>
              <w:tr2bl w:val="nil"/>
            </w:tcBorders>
            <w:vAlign w:val="center"/>
          </w:tcPr>
          <w:p>
            <w:pPr>
              <w:widowControl/>
              <w:rPr>
                <w:rFonts w:hint="eastAsia" w:ascii="宋体" w:hAnsi="宋体" w:eastAsia="宋体" w:cs="宋体"/>
                <w:kern w:val="0"/>
                <w:szCs w:val="21"/>
              </w:rPr>
            </w:pPr>
            <w:r>
              <w:rPr>
                <w:rFonts w:hint="eastAsia" w:ascii="宋体" w:hAnsi="宋体" w:eastAsia="宋体" w:cs="宋体"/>
                <w:kern w:val="0"/>
                <w:szCs w:val="21"/>
              </w:rPr>
              <w:t>计算公式详见附表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商务得分（20分）</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1155" w:type="dxa"/>
            <w:vMerge w:val="restart"/>
            <w:tcBorders>
              <w:tl2br w:val="nil"/>
              <w:tr2bl w:val="nil"/>
            </w:tcBorders>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商务得分        （20分）</w:t>
            </w:r>
          </w:p>
        </w:tc>
        <w:tc>
          <w:tcPr>
            <w:tcW w:w="1155" w:type="dxa"/>
            <w:tcBorders>
              <w:tl2br w:val="nil"/>
              <w:tr2bl w:val="nil"/>
            </w:tcBorders>
            <w:vAlign w:val="center"/>
          </w:tcPr>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施工类似业绩</w:t>
            </w:r>
          </w:p>
          <w:p>
            <w:pPr>
              <w:widowControl/>
              <w:spacing w:line="240" w:lineRule="atLeast"/>
              <w:jc w:val="center"/>
              <w:rPr>
                <w:rFonts w:hint="eastAsia" w:ascii="宋体" w:hAnsi="宋体" w:eastAsia="宋体" w:cs="宋体"/>
                <w:kern w:val="0"/>
                <w:szCs w:val="21"/>
              </w:rPr>
            </w:pPr>
            <w:r>
              <w:rPr>
                <w:rFonts w:hint="eastAsia" w:ascii="宋体" w:hAnsi="宋体" w:eastAsia="宋体" w:cs="宋体"/>
                <w:kern w:val="0"/>
                <w:szCs w:val="21"/>
              </w:rPr>
              <w:t xml:space="preserve"> </w:t>
            </w:r>
          </w:p>
        </w:tc>
        <w:tc>
          <w:tcPr>
            <w:tcW w:w="1183" w:type="dxa"/>
            <w:tcBorders>
              <w:tl2br w:val="nil"/>
              <w:tr2bl w:val="nil"/>
            </w:tcBorders>
            <w:vAlign w:val="center"/>
          </w:tcPr>
          <w:p>
            <w:pPr>
              <w:spacing w:line="240" w:lineRule="exact"/>
              <w:jc w:val="center"/>
              <w:rPr>
                <w:rFonts w:hint="eastAsia" w:ascii="宋体" w:hAnsi="宋体" w:eastAsia="宋体" w:cs="宋体"/>
                <w:kern w:val="0"/>
                <w:szCs w:val="21"/>
              </w:rPr>
            </w:pPr>
            <w:r>
              <w:rPr>
                <w:rFonts w:hint="eastAsia" w:ascii="宋体" w:hAnsi="宋体" w:eastAsia="宋体" w:cs="宋体"/>
                <w:kern w:val="0"/>
                <w:szCs w:val="21"/>
              </w:rPr>
              <w:t>15分</w:t>
            </w:r>
          </w:p>
        </w:tc>
        <w:tc>
          <w:tcPr>
            <w:tcW w:w="4359" w:type="dxa"/>
            <w:tcBorders>
              <w:tl2br w:val="nil"/>
              <w:tr2bl w:val="nil"/>
            </w:tcBorders>
            <w:vAlign w:val="center"/>
          </w:tcPr>
          <w:p>
            <w:pPr>
              <w:spacing w:line="240" w:lineRule="exact"/>
              <w:jc w:val="left"/>
              <w:rPr>
                <w:rFonts w:hint="eastAsia" w:ascii="宋体" w:hAnsi="宋体" w:eastAsia="宋体" w:cs="宋体"/>
                <w:kern w:val="0"/>
                <w:szCs w:val="21"/>
              </w:rPr>
            </w:pPr>
            <w:r>
              <w:rPr>
                <w:rFonts w:hint="eastAsia" w:ascii="宋体" w:hAnsi="宋体" w:eastAsia="宋体" w:cs="宋体"/>
                <w:kern w:val="0"/>
                <w:szCs w:val="21"/>
              </w:rPr>
              <w:t>投标人2021年至今，具有类似项目业绩。有1个的得5分，最多得15分。</w:t>
            </w:r>
          </w:p>
        </w:tc>
        <w:tc>
          <w:tcPr>
            <w:tcW w:w="2508"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提供中标通知书或合同复印件加盖公章原件备查（未提供原件不计分）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155" w:type="dxa"/>
            <w:vMerge w:val="continue"/>
            <w:tcBorders>
              <w:tl2br w:val="nil"/>
              <w:tr2bl w:val="nil"/>
            </w:tcBorders>
            <w:vAlign w:val="center"/>
          </w:tcPr>
          <w:p>
            <w:pPr>
              <w:widowControl/>
              <w:rPr>
                <w:rFonts w:hint="eastAsia" w:ascii="宋体" w:hAnsi="宋体" w:eastAsia="宋体" w:cs="宋体"/>
                <w:b/>
                <w:bCs/>
                <w:kern w:val="0"/>
                <w:szCs w:val="21"/>
              </w:rPr>
            </w:pPr>
          </w:p>
        </w:tc>
        <w:tc>
          <w:tcPr>
            <w:tcW w:w="1155"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企业认证</w:t>
            </w:r>
          </w:p>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 </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5分</w:t>
            </w:r>
          </w:p>
        </w:tc>
        <w:tc>
          <w:tcPr>
            <w:tcW w:w="4359"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投标人获得有效的“CNAS”职业健康安全管理体系认证（IOS 45001）、环境管理体系认证（ISO14001）、质量管理体系认证（ISO 9001）每提供一个计2分，最多得5分。</w:t>
            </w:r>
          </w:p>
        </w:tc>
        <w:tc>
          <w:tcPr>
            <w:tcW w:w="2508" w:type="dxa"/>
            <w:gridSpan w:val="2"/>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提供原件扫描件并加盖公章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10" w:type="dxa"/>
            <w:gridSpan w:val="2"/>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技术得分（50分）</w:t>
            </w:r>
          </w:p>
        </w:tc>
        <w:tc>
          <w:tcPr>
            <w:tcW w:w="1183" w:type="dxa"/>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分值</w:t>
            </w:r>
          </w:p>
        </w:tc>
        <w:tc>
          <w:tcPr>
            <w:tcW w:w="6867" w:type="dxa"/>
            <w:gridSpan w:val="3"/>
            <w:tcBorders>
              <w:tl2br w:val="nil"/>
              <w:tr2bl w:val="nil"/>
            </w:tcBorders>
            <w:shd w:val="clear" w:color="000000" w:fill="FFFFFF"/>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55" w:type="dxa"/>
            <w:vMerge w:val="restart"/>
            <w:tcBorders>
              <w:tl2br w:val="nil"/>
              <w:tr2bl w:val="nil"/>
            </w:tcBorders>
            <w:vAlign w:val="center"/>
          </w:tcPr>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技术得分</w:t>
            </w:r>
          </w:p>
          <w:p>
            <w:pPr>
              <w:widowControl/>
              <w:jc w:val="left"/>
              <w:rPr>
                <w:rFonts w:hint="eastAsia" w:ascii="宋体" w:hAnsi="宋体" w:eastAsia="宋体" w:cs="宋体"/>
                <w:b/>
                <w:bCs/>
                <w:kern w:val="0"/>
                <w:szCs w:val="21"/>
              </w:rPr>
            </w:pPr>
            <w:r>
              <w:rPr>
                <w:rFonts w:hint="eastAsia" w:ascii="宋体" w:hAnsi="宋体" w:eastAsia="宋体" w:cs="宋体"/>
                <w:b/>
                <w:bCs/>
                <w:kern w:val="0"/>
                <w:szCs w:val="21"/>
              </w:rPr>
              <w:t>（50分）</w:t>
            </w: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施工方案与技术措施</w:t>
            </w:r>
          </w:p>
        </w:tc>
        <w:tc>
          <w:tcPr>
            <w:tcW w:w="1183" w:type="dxa"/>
            <w:tcBorders>
              <w:tl2br w:val="nil"/>
              <w:tr2bl w:val="nil"/>
            </w:tcBorders>
            <w:vAlign w:val="center"/>
          </w:tcPr>
          <w:p>
            <w:pPr>
              <w:jc w:val="center"/>
              <w:rPr>
                <w:rFonts w:hint="eastAsia" w:ascii="宋体" w:hAnsi="宋体" w:eastAsia="宋体" w:cs="宋体"/>
                <w:kern w:val="0"/>
                <w:szCs w:val="21"/>
              </w:rPr>
            </w:pPr>
            <w:r>
              <w:rPr>
                <w:rFonts w:hint="eastAsia" w:ascii="宋体" w:hAnsi="宋体" w:eastAsia="宋体" w:cs="宋体"/>
                <w:kern w:val="0"/>
                <w:szCs w:val="21"/>
              </w:rPr>
              <w:t>10分</w:t>
            </w:r>
          </w:p>
        </w:tc>
        <w:tc>
          <w:tcPr>
            <w:tcW w:w="4509" w:type="dxa"/>
            <w:gridSpan w:val="2"/>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根据投标人提供施工方案与技术措施完整性、科学性、合理性，完全满足要求的计10-7分，良好的计6-3分，一般的计2-1分，没有提供不计分。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施工方案与技术措施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工程进度计划与保证措施</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根据投标人提供工程进度计划与保证措施完整性、科学性、合理性，完全满足要求的计8-6分，良好的计5-3分，一般的计2-1分，没有提供不计分。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工程进度计划与保证措施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安全管理体系与措施</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根据投标人提供安全管理体系与措施完整性、科学性、合理性，优的计8-6分，良好的计5-3分，一般的计2-1分，没有提供不计分。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安全管理体系与措施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spacing w:line="240" w:lineRule="atLeast"/>
              <w:jc w:val="center"/>
              <w:rPr>
                <w:rFonts w:hint="eastAsia" w:ascii="宋体" w:hAnsi="宋体" w:eastAsia="宋体" w:cs="宋体"/>
                <w:kern w:val="0"/>
                <w:szCs w:val="21"/>
              </w:rPr>
            </w:pPr>
            <w:r>
              <w:rPr>
                <w:rFonts w:hint="eastAsia" w:ascii="宋体" w:hAnsi="宋体" w:eastAsia="宋体" w:cs="宋体"/>
                <w:kern w:val="0"/>
                <w:szCs w:val="21"/>
              </w:rPr>
              <w:t>环境保护管理体系与措施</w:t>
            </w:r>
          </w:p>
        </w:tc>
        <w:tc>
          <w:tcPr>
            <w:tcW w:w="1183" w:type="dxa"/>
            <w:tcBorders>
              <w:tl2br w:val="nil"/>
              <w:tr2bl w:val="nil"/>
            </w:tcBorders>
            <w:vAlign w:val="center"/>
          </w:tcPr>
          <w:p>
            <w:pPr>
              <w:tabs>
                <w:tab w:val="left" w:pos="1988"/>
              </w:tabs>
              <w:spacing w:line="240" w:lineRule="atLeast"/>
              <w:jc w:val="center"/>
              <w:rPr>
                <w:rFonts w:hint="eastAsia" w:ascii="宋体" w:hAnsi="宋体" w:eastAsia="宋体" w:cs="宋体"/>
                <w:kern w:val="0"/>
                <w:szCs w:val="21"/>
              </w:rPr>
            </w:pPr>
            <w:r>
              <w:rPr>
                <w:rFonts w:hint="eastAsia" w:ascii="宋体" w:hAnsi="宋体" w:eastAsia="宋体" w:cs="宋体"/>
                <w:szCs w:val="21"/>
              </w:rPr>
              <w:t>8分</w:t>
            </w:r>
          </w:p>
        </w:tc>
        <w:tc>
          <w:tcPr>
            <w:tcW w:w="4509" w:type="dxa"/>
            <w:gridSpan w:val="2"/>
            <w:tcBorders>
              <w:tl2br w:val="nil"/>
              <w:tr2bl w:val="nil"/>
            </w:tcBorders>
            <w:vAlign w:val="center"/>
          </w:tcPr>
          <w:p>
            <w:pPr>
              <w:tabs>
                <w:tab w:val="left" w:pos="1988"/>
              </w:tabs>
              <w:spacing w:line="240" w:lineRule="atLeast"/>
              <w:rPr>
                <w:rFonts w:hint="eastAsia" w:ascii="宋体" w:hAnsi="宋体" w:eastAsia="宋体" w:cs="宋体"/>
                <w:kern w:val="0"/>
                <w:szCs w:val="21"/>
              </w:rPr>
            </w:pPr>
            <w:r>
              <w:rPr>
                <w:rFonts w:hint="eastAsia" w:ascii="宋体" w:hAnsi="宋体" w:eastAsia="宋体" w:cs="宋体"/>
                <w:kern w:val="0"/>
                <w:szCs w:val="21"/>
              </w:rPr>
              <w:t>根据投标人提供环境保护管理体系与措施</w:t>
            </w:r>
            <w:r>
              <w:rPr>
                <w:rFonts w:hint="eastAsia" w:ascii="宋体" w:hAnsi="宋体" w:eastAsia="宋体" w:cs="宋体"/>
                <w:szCs w:val="21"/>
              </w:rPr>
              <w:t>完整性、科学性、合理性，优的计8-6分</w:t>
            </w:r>
            <w:r>
              <w:rPr>
                <w:rFonts w:hint="eastAsia" w:ascii="宋体" w:hAnsi="宋体" w:eastAsia="宋体" w:cs="宋体"/>
                <w:kern w:val="0"/>
                <w:szCs w:val="21"/>
              </w:rPr>
              <w:t>，良好的计5-3分，一般的计2-1分，没有提供不计分。</w:t>
            </w:r>
          </w:p>
        </w:tc>
        <w:tc>
          <w:tcPr>
            <w:tcW w:w="2358" w:type="dxa"/>
            <w:tcBorders>
              <w:tl2br w:val="nil"/>
              <w:tr2bl w:val="nil"/>
            </w:tcBorders>
            <w:vAlign w:val="center"/>
          </w:tcPr>
          <w:p>
            <w:pPr>
              <w:spacing w:line="240" w:lineRule="atLeast"/>
              <w:jc w:val="center"/>
              <w:rPr>
                <w:rFonts w:hint="eastAsia" w:ascii="宋体" w:hAnsi="宋体" w:eastAsia="宋体" w:cs="宋体"/>
                <w:kern w:val="0"/>
                <w:szCs w:val="21"/>
              </w:rPr>
            </w:pPr>
            <w:r>
              <w:rPr>
                <w:rFonts w:hint="eastAsia" w:ascii="宋体" w:hAnsi="宋体" w:eastAsia="宋体" w:cs="宋体"/>
                <w:kern w:val="0"/>
                <w:szCs w:val="21"/>
              </w:rPr>
              <w:t>环境保护管理体系与措施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团队构成及职责分工</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tabs>
                <w:tab w:val="left" w:pos="1988"/>
              </w:tabs>
              <w:rPr>
                <w:rFonts w:hint="eastAsia" w:ascii="宋体" w:hAnsi="宋体" w:eastAsia="宋体" w:cs="宋体"/>
                <w:kern w:val="0"/>
                <w:szCs w:val="21"/>
              </w:rPr>
            </w:pPr>
            <w:r>
              <w:rPr>
                <w:rFonts w:hint="eastAsia" w:ascii="宋体" w:hAnsi="宋体" w:eastAsia="宋体" w:cs="宋体"/>
                <w:kern w:val="0"/>
                <w:szCs w:val="21"/>
              </w:rPr>
              <w:t>团队构成及职责分工完整性、科学性、合理性，优的计8-6分，良好的计5-3分，一般的计2-1分，没有提供不计分。</w:t>
            </w:r>
          </w:p>
        </w:tc>
        <w:tc>
          <w:tcPr>
            <w:tcW w:w="2358"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团队构成及职责分工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55" w:type="dxa"/>
            <w:vMerge w:val="continue"/>
            <w:tcBorders>
              <w:tl2br w:val="nil"/>
              <w:tr2bl w:val="nil"/>
            </w:tcBorders>
            <w:vAlign w:val="center"/>
          </w:tcPr>
          <w:p>
            <w:pPr>
              <w:widowControl/>
              <w:jc w:val="left"/>
              <w:rPr>
                <w:rFonts w:hint="eastAsia" w:ascii="宋体" w:hAnsi="宋体" w:eastAsia="宋体" w:cs="宋体"/>
                <w:b/>
                <w:bCs/>
                <w:kern w:val="0"/>
                <w:szCs w:val="21"/>
              </w:rPr>
            </w:pPr>
          </w:p>
        </w:tc>
        <w:tc>
          <w:tcPr>
            <w:tcW w:w="1155" w:type="dxa"/>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售后服务响应情况</w:t>
            </w:r>
          </w:p>
        </w:tc>
        <w:tc>
          <w:tcPr>
            <w:tcW w:w="1183" w:type="dxa"/>
            <w:tcBorders>
              <w:tl2br w:val="nil"/>
              <w:tr2bl w:val="nil"/>
            </w:tcBorders>
            <w:vAlign w:val="center"/>
          </w:tcPr>
          <w:p>
            <w:pPr>
              <w:tabs>
                <w:tab w:val="left" w:pos="1988"/>
              </w:tabs>
              <w:jc w:val="center"/>
              <w:rPr>
                <w:rFonts w:hint="eastAsia" w:ascii="宋体" w:hAnsi="宋体" w:eastAsia="宋体" w:cs="宋体"/>
                <w:kern w:val="0"/>
                <w:szCs w:val="21"/>
              </w:rPr>
            </w:pPr>
            <w:r>
              <w:rPr>
                <w:rFonts w:hint="eastAsia" w:ascii="宋体" w:hAnsi="宋体" w:eastAsia="宋体" w:cs="宋体"/>
                <w:kern w:val="0"/>
                <w:szCs w:val="21"/>
              </w:rPr>
              <w:t>8分</w:t>
            </w:r>
          </w:p>
        </w:tc>
        <w:tc>
          <w:tcPr>
            <w:tcW w:w="4509" w:type="dxa"/>
            <w:gridSpan w:val="2"/>
            <w:tcBorders>
              <w:tl2br w:val="nil"/>
              <w:tr2bl w:val="nil"/>
            </w:tcBorders>
            <w:vAlign w:val="center"/>
          </w:tcPr>
          <w:p>
            <w:pPr>
              <w:rPr>
                <w:rFonts w:hint="eastAsia" w:ascii="宋体" w:hAnsi="宋体" w:eastAsia="宋体" w:cs="宋体"/>
                <w:kern w:val="0"/>
                <w:szCs w:val="21"/>
              </w:rPr>
            </w:pPr>
            <w:r>
              <w:rPr>
                <w:rFonts w:hint="eastAsia" w:ascii="宋体" w:hAnsi="宋体" w:eastAsia="宋体" w:cs="宋体"/>
                <w:kern w:val="0"/>
                <w:szCs w:val="21"/>
              </w:rPr>
              <w:t>售后服务响应情况及时、高效，优的计8-6分，良好的计5-3分，一般的计2-1分</w:t>
            </w:r>
          </w:p>
        </w:tc>
        <w:tc>
          <w:tcPr>
            <w:tcW w:w="2358" w:type="dxa"/>
            <w:tcBorders>
              <w:tl2br w:val="nil"/>
              <w:tr2bl w:val="nil"/>
            </w:tcBorders>
            <w:vAlign w:val="center"/>
          </w:tcPr>
          <w:p>
            <w:pPr>
              <w:jc w:val="center"/>
              <w:rPr>
                <w:rFonts w:hint="eastAsia" w:ascii="宋体" w:hAnsi="宋体" w:eastAsia="宋体" w:cs="宋体"/>
                <w:kern w:val="0"/>
                <w:szCs w:val="21"/>
              </w:rPr>
            </w:pPr>
            <w:r>
              <w:rPr>
                <w:rFonts w:hint="eastAsia" w:ascii="宋体" w:hAnsi="宋体" w:eastAsia="宋体" w:cs="宋体"/>
                <w:kern w:val="0"/>
                <w:szCs w:val="21"/>
              </w:rPr>
              <w:t>售后服务响应情况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10" w:type="dxa"/>
            <w:gridSpan w:val="2"/>
            <w:tcBorders>
              <w:tl2br w:val="nil"/>
              <w:tr2bl w:val="nil"/>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合计</w:t>
            </w:r>
          </w:p>
        </w:tc>
        <w:tc>
          <w:tcPr>
            <w:tcW w:w="1183" w:type="dxa"/>
            <w:tcBorders>
              <w:tl2br w:val="nil"/>
              <w:tr2bl w:val="nil"/>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100分</w:t>
            </w:r>
          </w:p>
        </w:tc>
        <w:tc>
          <w:tcPr>
            <w:tcW w:w="4509" w:type="dxa"/>
            <w:gridSpan w:val="2"/>
            <w:tcBorders>
              <w:tl2br w:val="nil"/>
              <w:tr2bl w:val="nil"/>
            </w:tcBorders>
            <w:vAlign w:val="center"/>
          </w:tcPr>
          <w:p>
            <w:pPr>
              <w:widowControl/>
              <w:jc w:val="left"/>
              <w:rPr>
                <w:rFonts w:hint="eastAsia" w:ascii="宋体" w:hAnsi="宋体" w:eastAsia="宋体" w:cs="宋体"/>
                <w:kern w:val="0"/>
                <w:szCs w:val="21"/>
              </w:rPr>
            </w:pPr>
          </w:p>
        </w:tc>
        <w:tc>
          <w:tcPr>
            <w:tcW w:w="2358" w:type="dxa"/>
            <w:tcBorders>
              <w:tl2br w:val="nil"/>
              <w:tr2bl w:val="nil"/>
            </w:tcBorders>
            <w:vAlign w:val="center"/>
          </w:tcPr>
          <w:p>
            <w:pPr>
              <w:widowControl/>
              <w:jc w:val="center"/>
              <w:rPr>
                <w:rFonts w:hint="eastAsia" w:ascii="宋体" w:hAnsi="宋体" w:eastAsia="宋体" w:cs="宋体"/>
                <w:kern w:val="0"/>
                <w:szCs w:val="21"/>
              </w:rPr>
            </w:pPr>
          </w:p>
        </w:tc>
      </w:tr>
    </w:tbl>
    <w:p>
      <w:pPr>
        <w:tabs>
          <w:tab w:val="left" w:pos="4500"/>
        </w:tabs>
        <w:rPr>
          <w:rFonts w:hint="eastAsia" w:ascii="宋体" w:hAnsi="宋体" w:eastAsia="宋体" w:cs="宋体"/>
          <w:b/>
          <w:sz w:val="28"/>
          <w:szCs w:val="28"/>
        </w:rPr>
      </w:pPr>
      <w:r>
        <w:rPr>
          <w:rFonts w:hint="eastAsia" w:ascii="宋体" w:hAnsi="宋体" w:eastAsia="宋体" w:cs="宋体"/>
          <w:b/>
          <w:sz w:val="24"/>
        </w:rPr>
        <w:t>注：以上“</w:t>
      </w:r>
      <w:r>
        <w:rPr>
          <w:rFonts w:hint="eastAsia" w:ascii="宋体" w:hAnsi="宋体" w:eastAsia="宋体" w:cs="宋体"/>
          <w:b/>
          <w:sz w:val="24"/>
          <w:lang w:eastAsia="zh-CN"/>
        </w:rPr>
        <w:t>2021</w:t>
      </w:r>
      <w:r>
        <w:rPr>
          <w:rFonts w:hint="eastAsia" w:ascii="宋体" w:hAnsi="宋体" w:eastAsia="宋体" w:cs="宋体"/>
          <w:b/>
          <w:sz w:val="24"/>
        </w:rPr>
        <w:t>年至今”指</w:t>
      </w:r>
      <w:r>
        <w:rPr>
          <w:rFonts w:hint="eastAsia" w:ascii="宋体" w:hAnsi="宋体" w:eastAsia="宋体" w:cs="宋体"/>
          <w:b/>
          <w:sz w:val="24"/>
          <w:lang w:eastAsia="zh-CN"/>
        </w:rPr>
        <w:t>2021</w:t>
      </w:r>
      <w:r>
        <w:rPr>
          <w:rFonts w:hint="eastAsia" w:ascii="宋体" w:hAnsi="宋体" w:eastAsia="宋体" w:cs="宋体"/>
          <w:b/>
          <w:sz w:val="24"/>
        </w:rPr>
        <w:t>年1月1日至本项目开标之日前一天截止</w:t>
      </w:r>
      <w:r>
        <w:rPr>
          <w:rFonts w:hint="eastAsia" w:ascii="宋体" w:hAnsi="宋体" w:eastAsia="宋体" w:cs="宋体"/>
          <w:b/>
          <w:sz w:val="24"/>
        </w:rPr>
        <w:br w:type="page"/>
      </w:r>
    </w:p>
    <w:p>
      <w:pPr>
        <w:jc w:val="center"/>
        <w:rPr>
          <w:rFonts w:hint="eastAsia" w:ascii="宋体" w:hAnsi="宋体" w:eastAsia="宋体" w:cs="宋体"/>
          <w:b/>
          <w:sz w:val="28"/>
          <w:szCs w:val="28"/>
        </w:rPr>
      </w:pPr>
      <w:r>
        <w:rPr>
          <w:rFonts w:hint="eastAsia" w:ascii="宋体" w:hAnsi="宋体" w:eastAsia="宋体" w:cs="宋体"/>
          <w:b/>
          <w:sz w:val="24"/>
          <w:szCs w:val="24"/>
        </w:rPr>
        <w:t>投标报价评审计分表（30分）</w:t>
      </w:r>
    </w:p>
    <w:tbl>
      <w:tblPr>
        <w:tblStyle w:val="15"/>
        <w:tblW w:w="966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857"/>
        <w:gridCol w:w="1205"/>
        <w:gridCol w:w="2014"/>
        <w:gridCol w:w="1120"/>
        <w:gridCol w:w="840"/>
        <w:gridCol w:w="126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exact"/>
        </w:trPr>
        <w:tc>
          <w:tcPr>
            <w:tcW w:w="1681" w:type="dxa"/>
            <w:gridSpan w:val="2"/>
            <w:tcBorders>
              <w:top w:val="double" w:color="auto" w:sz="4" w:space="0"/>
              <w:left w:val="double" w:color="auto" w:sz="4" w:space="0"/>
              <w:bottom w:val="single" w:color="auto" w:sz="6" w:space="0"/>
              <w:right w:val="single" w:color="auto" w:sz="6" w:space="0"/>
            </w:tcBorders>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3219" w:type="dxa"/>
            <w:gridSpan w:val="2"/>
            <w:tcBorders>
              <w:top w:val="doub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b/>
                <w:szCs w:val="21"/>
              </w:rPr>
            </w:pPr>
            <w:r>
              <w:rPr>
                <w:rFonts w:hint="eastAsia" w:ascii="宋体" w:hAnsi="宋体" w:eastAsia="宋体" w:cs="宋体"/>
                <w:b/>
                <w:szCs w:val="21"/>
              </w:rPr>
              <w:t>项目</w:t>
            </w:r>
          </w:p>
        </w:tc>
        <w:tc>
          <w:tcPr>
            <w:tcW w:w="4760" w:type="dxa"/>
            <w:gridSpan w:val="4"/>
            <w:tcBorders>
              <w:top w:val="double" w:color="auto" w:sz="4" w:space="0"/>
              <w:left w:val="single" w:color="auto" w:sz="6" w:space="0"/>
              <w:bottom w:val="single" w:color="auto" w:sz="6" w:space="0"/>
              <w:right w:val="doub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adjustRightInd w:val="0"/>
              <w:snapToGrid w:val="0"/>
              <w:spacing w:line="240" w:lineRule="atLeast"/>
              <w:jc w:val="center"/>
              <w:rPr>
                <w:rFonts w:hint="eastAsia" w:ascii="宋体" w:hAnsi="宋体" w:eastAsia="宋体" w:cs="宋体"/>
                <w:szCs w:val="21"/>
              </w:rPr>
            </w:pPr>
            <w:r>
              <w:rPr>
                <w:rFonts w:hint="eastAsia" w:ascii="宋体" w:hAnsi="宋体" w:eastAsia="宋体" w:cs="宋体"/>
                <w:szCs w:val="21"/>
              </w:rPr>
              <w:t>从0开始每升</w:t>
            </w:r>
            <w:r>
              <w:rPr>
                <w:rFonts w:hint="eastAsia" w:ascii="宋体" w:hAnsi="宋体" w:eastAsia="宋体" w:cs="宋体"/>
                <w:szCs w:val="21"/>
                <w:u w:val="single"/>
              </w:rPr>
              <w:t>1%</w:t>
            </w:r>
            <w:r>
              <w:rPr>
                <w:rFonts w:hint="eastAsia" w:ascii="宋体" w:hAnsi="宋体" w:eastAsia="宋体" w:cs="宋体"/>
                <w:szCs w:val="21"/>
              </w:rPr>
              <w:t>减</w:t>
            </w:r>
            <w:r>
              <w:rPr>
                <w:rFonts w:hint="eastAsia" w:ascii="宋体" w:hAnsi="宋体" w:eastAsia="宋体" w:cs="宋体"/>
                <w:szCs w:val="21"/>
                <w:u w:val="single"/>
              </w:rPr>
              <w:t>1</w:t>
            </w:r>
            <w:r>
              <w:rPr>
                <w:rFonts w:hint="eastAsia" w:ascii="宋体" w:hAnsi="宋体" w:eastAsia="宋体" w:cs="宋体"/>
                <w:szCs w:val="21"/>
              </w:rPr>
              <w:t>分，即100-</w:t>
            </w:r>
            <w:r>
              <w:rPr>
                <w:rFonts w:hint="eastAsia" w:ascii="宋体" w:hAnsi="宋体" w:eastAsia="宋体" w:cs="宋体"/>
                <w:szCs w:val="21"/>
                <w:u w:val="single"/>
              </w:rPr>
              <w:t>1</w:t>
            </w:r>
            <w:r>
              <w:rPr>
                <w:rFonts w:hint="eastAsia" w:ascii="宋体" w:hAnsi="宋体" w:eastAsia="宋体" w:cs="宋体"/>
                <w:szCs w:val="21"/>
              </w:rPr>
              <w:t>*100X</w:t>
            </w:r>
            <w:r>
              <w:rPr>
                <w:rFonts w:hint="eastAsia" w:ascii="宋体" w:hAnsi="宋体" w:eastAsia="宋体" w:cs="宋体"/>
                <w:szCs w:val="21"/>
                <w:vertAlign w:val="sub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widowControl/>
              <w:jc w:val="center"/>
              <w:rPr>
                <w:rFonts w:hint="eastAsia" w:ascii="宋体" w:hAnsi="宋体" w:eastAsia="宋体" w:cs="宋体"/>
                <w:szCs w:val="21"/>
              </w:rPr>
            </w:pPr>
            <w:r>
              <w:rPr>
                <w:rFonts w:hint="eastAsia" w:ascii="宋体" w:hAnsi="宋体" w:eastAsia="宋体" w:cs="宋体"/>
                <w:szCs w:val="21"/>
              </w:rPr>
              <w:t>100分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3219" w:type="dxa"/>
            <w:gridSpan w:val="2"/>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r>
              <w:rPr>
                <w:rFonts w:hint="eastAsia" w:ascii="宋体" w:hAnsi="宋体" w:eastAsia="宋体" w:cs="宋体"/>
                <w:szCs w:val="21"/>
              </w:rPr>
              <w:t>评标价(算术修正后)＜基准价</w:t>
            </w:r>
          </w:p>
        </w:tc>
        <w:tc>
          <w:tcPr>
            <w:tcW w:w="4760" w:type="dxa"/>
            <w:gridSpan w:val="4"/>
            <w:tcBorders>
              <w:top w:val="single" w:color="auto" w:sz="6" w:space="0"/>
              <w:left w:val="single" w:color="auto" w:sz="6" w:space="0"/>
              <w:bottom w:val="single" w:color="auto" w:sz="6" w:space="0"/>
              <w:right w:val="double" w:color="auto" w:sz="4" w:space="0"/>
            </w:tcBorders>
            <w:vAlign w:val="center"/>
          </w:tcPr>
          <w:p>
            <w:pPr>
              <w:widowControl/>
              <w:jc w:val="center"/>
              <w:rPr>
                <w:rFonts w:hint="eastAsia" w:ascii="宋体" w:hAnsi="宋体" w:eastAsia="宋体" w:cs="宋体"/>
                <w:szCs w:val="21"/>
              </w:rPr>
            </w:pPr>
            <w:r>
              <w:rPr>
                <w:rFonts w:hint="eastAsia" w:ascii="宋体" w:hAnsi="宋体" w:eastAsia="宋体" w:cs="宋体"/>
                <w:szCs w:val="21"/>
              </w:rPr>
              <w:t>从0开始每降</w:t>
            </w:r>
            <w:r>
              <w:rPr>
                <w:rFonts w:hint="eastAsia" w:ascii="宋体" w:hAnsi="宋体" w:eastAsia="宋体" w:cs="宋体"/>
                <w:szCs w:val="21"/>
                <w:u w:val="single"/>
              </w:rPr>
              <w:t>1%</w:t>
            </w:r>
            <w:r>
              <w:rPr>
                <w:rFonts w:hint="eastAsia" w:ascii="宋体" w:hAnsi="宋体" w:eastAsia="宋体" w:cs="宋体"/>
                <w:szCs w:val="21"/>
              </w:rPr>
              <w:t>加</w:t>
            </w:r>
            <w:r>
              <w:rPr>
                <w:rFonts w:hint="eastAsia" w:ascii="宋体" w:hAnsi="宋体" w:eastAsia="宋体" w:cs="宋体"/>
                <w:szCs w:val="21"/>
                <w:u w:val="single"/>
              </w:rPr>
              <w:t>1</w:t>
            </w:r>
            <w:r>
              <w:rPr>
                <w:rFonts w:hint="eastAsia" w:ascii="宋体" w:hAnsi="宋体" w:eastAsia="宋体" w:cs="宋体"/>
                <w:szCs w:val="21"/>
              </w:rPr>
              <w:t>分，即100+</w:t>
            </w:r>
            <w:r>
              <w:rPr>
                <w:rFonts w:hint="eastAsia" w:ascii="宋体" w:hAnsi="宋体" w:eastAsia="宋体" w:cs="宋体"/>
                <w:szCs w:val="21"/>
                <w:u w:val="single"/>
              </w:rPr>
              <w:t>1</w:t>
            </w:r>
            <w:r>
              <w:rPr>
                <w:rFonts w:hint="eastAsia" w:ascii="宋体" w:hAnsi="宋体" w:eastAsia="宋体" w:cs="宋体"/>
                <w:szCs w:val="21"/>
              </w:rPr>
              <w:t>*100X</w:t>
            </w:r>
            <w:r>
              <w:rPr>
                <w:rFonts w:hint="eastAsia" w:ascii="宋体" w:hAnsi="宋体" w:eastAsia="宋体" w:cs="宋体"/>
                <w:szCs w:val="21"/>
                <w:vertAlign w:val="subscript"/>
              </w:rPr>
              <w:t xml:space="preserve">2 </w:t>
            </w:r>
            <w:r>
              <w:rPr>
                <w:rFonts w:hint="eastAsia" w:ascii="宋体" w:hAnsi="宋体" w:eastAsia="宋体" w:cs="宋体"/>
                <w:szCs w:val="21"/>
              </w:rPr>
              <w:t>最多加5分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exact"/>
        </w:trPr>
        <w:tc>
          <w:tcPr>
            <w:tcW w:w="1681" w:type="dxa"/>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投标人名称</w:t>
            </w:r>
          </w:p>
        </w:tc>
        <w:tc>
          <w:tcPr>
            <w:tcW w:w="12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w:t>
            </w:r>
          </w:p>
        </w:tc>
        <w:tc>
          <w:tcPr>
            <w:tcW w:w="201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最终投标价</w:t>
            </w:r>
          </w:p>
        </w:tc>
        <w:tc>
          <w:tcPr>
            <w:tcW w:w="112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基准价</w:t>
            </w:r>
          </w:p>
        </w:tc>
        <w:tc>
          <w:tcPr>
            <w:tcW w:w="8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szCs w:val="21"/>
              </w:rPr>
            </w:pPr>
            <w:r>
              <w:rPr>
                <w:rFonts w:hint="eastAsia" w:ascii="宋体" w:hAnsi="宋体" w:eastAsia="宋体" w:cs="宋体"/>
                <w:szCs w:val="21"/>
              </w:rPr>
              <w:t>X</w:t>
            </w:r>
            <w:r>
              <w:rPr>
                <w:rFonts w:hint="eastAsia" w:ascii="宋体" w:hAnsi="宋体" w:eastAsia="宋体" w:cs="宋体"/>
                <w:szCs w:val="21"/>
                <w:vertAlign w:val="subscript"/>
              </w:rPr>
              <w:t>2</w:t>
            </w:r>
            <w:r>
              <w:rPr>
                <w:rFonts w:hint="eastAsia" w:ascii="宋体" w:hAnsi="宋体" w:eastAsia="宋体" w:cs="宋体"/>
                <w:szCs w:val="21"/>
              </w:rPr>
              <w:t>值</w:t>
            </w:r>
          </w:p>
        </w:tc>
        <w:tc>
          <w:tcPr>
            <w:tcW w:w="126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价格权重</w:t>
            </w:r>
          </w:p>
        </w:tc>
        <w:tc>
          <w:tcPr>
            <w:tcW w:w="1540" w:type="dxa"/>
            <w:tcBorders>
              <w:top w:val="single" w:color="auto" w:sz="6" w:space="0"/>
              <w:left w:val="single" w:color="auto" w:sz="4" w:space="0"/>
              <w:bottom w:val="single" w:color="auto" w:sz="6" w:space="0"/>
              <w:right w:val="doub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1</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restart"/>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restart"/>
            <w:tcBorders>
              <w:top w:val="single" w:color="auto" w:sz="6" w:space="0"/>
              <w:left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2</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continue"/>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continue"/>
            <w:tcBorders>
              <w:left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exact"/>
        </w:trPr>
        <w:tc>
          <w:tcPr>
            <w:tcW w:w="824" w:type="dxa"/>
            <w:tcBorders>
              <w:top w:val="single" w:color="auto" w:sz="6" w:space="0"/>
              <w:left w:val="double" w:color="auto" w:sz="4" w:space="0"/>
              <w:bottom w:val="single" w:color="auto" w:sz="6"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w:t>
            </w:r>
          </w:p>
        </w:tc>
        <w:tc>
          <w:tcPr>
            <w:tcW w:w="857"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eastAsia="宋体" w:cs="宋体"/>
                <w:szCs w:val="21"/>
              </w:rPr>
            </w:pPr>
          </w:p>
        </w:tc>
        <w:tc>
          <w:tcPr>
            <w:tcW w:w="120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120" w:type="dxa"/>
            <w:vMerge w:val="continue"/>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840"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szCs w:val="21"/>
              </w:rPr>
            </w:pPr>
          </w:p>
        </w:tc>
        <w:tc>
          <w:tcPr>
            <w:tcW w:w="1260" w:type="dxa"/>
            <w:vMerge w:val="continue"/>
            <w:tcBorders>
              <w:left w:val="single" w:color="auto" w:sz="6" w:space="0"/>
              <w:bottom w:val="single" w:color="auto" w:sz="6" w:space="0"/>
              <w:right w:val="single" w:color="auto" w:sz="4" w:space="0"/>
            </w:tcBorders>
            <w:vAlign w:val="center"/>
          </w:tcPr>
          <w:p>
            <w:pPr>
              <w:rPr>
                <w:rFonts w:hint="eastAsia" w:ascii="宋体" w:hAnsi="宋体" w:eastAsia="宋体" w:cs="宋体"/>
                <w:szCs w:val="21"/>
              </w:rPr>
            </w:pPr>
          </w:p>
        </w:tc>
        <w:tc>
          <w:tcPr>
            <w:tcW w:w="1540" w:type="dxa"/>
            <w:tcBorders>
              <w:top w:val="single" w:color="auto" w:sz="6" w:space="0"/>
              <w:left w:val="single" w:color="auto" w:sz="4" w:space="0"/>
              <w:bottom w:val="single" w:color="auto" w:sz="6" w:space="0"/>
              <w:right w:val="double" w:color="auto" w:sz="4" w:space="0"/>
            </w:tcBorders>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exact"/>
        </w:trPr>
        <w:tc>
          <w:tcPr>
            <w:tcW w:w="9660" w:type="dxa"/>
            <w:gridSpan w:val="8"/>
            <w:tcBorders>
              <w:top w:val="single" w:color="auto" w:sz="6" w:space="0"/>
              <w:left w:val="double" w:color="auto" w:sz="4" w:space="0"/>
              <w:bottom w:val="double" w:color="auto" w:sz="4" w:space="0"/>
              <w:right w:val="double" w:color="auto" w:sz="4" w:space="0"/>
            </w:tcBorders>
            <w:vAlign w:val="center"/>
          </w:tcPr>
          <w:p>
            <w:pPr>
              <w:adjustRightInd w:val="0"/>
              <w:snapToGrid w:val="0"/>
              <w:spacing w:before="156" w:beforeLines="50"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对投标报价的调整记录(算术修正)：</w:t>
            </w:r>
          </w:p>
        </w:tc>
      </w:tr>
    </w:tbl>
    <w:p>
      <w:pPr>
        <w:adjustRightInd w:val="0"/>
        <w:snapToGrid w:val="0"/>
        <w:spacing w:line="360" w:lineRule="auto"/>
        <w:ind w:right="-332" w:rightChars="-158"/>
        <w:rPr>
          <w:rFonts w:hint="eastAsia" w:ascii="宋体" w:hAnsi="宋体" w:eastAsia="宋体" w:cs="宋体"/>
          <w:szCs w:val="21"/>
        </w:rPr>
      </w:pPr>
      <w:r>
        <w:rPr>
          <w:rFonts w:hint="eastAsia" w:ascii="宋体" w:hAnsi="宋体" w:eastAsia="宋体" w:cs="宋体"/>
          <w:szCs w:val="21"/>
        </w:rPr>
        <w:t>备注：1、投标报价得分：评分标准计算结果×价格权重。</w:t>
      </w:r>
    </w:p>
    <w:p>
      <w:pPr>
        <w:adjustRightInd w:val="0"/>
        <w:snapToGrid w:val="0"/>
        <w:spacing w:line="360" w:lineRule="auto"/>
        <w:ind w:right="-332" w:rightChars="-158" w:firstLine="630" w:firstLineChars="300"/>
        <w:rPr>
          <w:rFonts w:hint="eastAsia" w:ascii="宋体" w:hAnsi="宋体" w:eastAsia="宋体" w:cs="宋体"/>
          <w:szCs w:val="21"/>
        </w:rPr>
      </w:pPr>
      <w:r>
        <w:rPr>
          <w:rFonts w:hint="eastAsia" w:ascii="宋体" w:hAnsi="宋体" w:eastAsia="宋体" w:cs="宋体"/>
          <w:szCs w:val="21"/>
        </w:rPr>
        <w:t>2、评标基准价</w:t>
      </w:r>
      <w:r>
        <w:rPr>
          <w:rFonts w:hint="eastAsia" w:ascii="宋体" w:hAnsi="宋体" w:eastAsia="宋体" w:cs="宋体"/>
          <w:szCs w:val="21"/>
        </w:rPr>
        <w:fldChar w:fldCharType="begin"/>
      </w:r>
      <w:r>
        <w:rPr>
          <w:rFonts w:hint="eastAsia" w:ascii="宋体" w:hAnsi="宋体" w:eastAsia="宋体" w:cs="宋体"/>
          <w:szCs w:val="21"/>
        </w:rPr>
        <w:instrText xml:space="preserve"> QUOTE </w:instrText>
      </w:r>
      <w:r>
        <w:rPr>
          <w:rFonts w:hint="eastAsia" w:ascii="宋体" w:hAnsi="宋体" w:eastAsia="宋体" w:cs="宋体"/>
          <w:position w:val="-21"/>
          <w:szCs w:val="21"/>
        </w:rPr>
        <w:drawing>
          <wp:inline distT="0" distB="0" distL="114300" distR="114300">
            <wp:extent cx="1304925" cy="4000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7"/>
                    <a:stretch>
                      <a:fillRect/>
                    </a:stretch>
                  </pic:blipFill>
                  <pic:spPr>
                    <a:xfrm>
                      <a:off x="0" y="0"/>
                      <a:ext cx="1304925" cy="400050"/>
                    </a:xfrm>
                    <a:prstGeom prst="rect">
                      <a:avLst/>
                    </a:prstGeom>
                    <a:noFill/>
                    <a:ln>
                      <a:noFill/>
                    </a:ln>
                  </pic:spPr>
                </pic:pic>
              </a:graphicData>
            </a:graphic>
          </wp:inline>
        </w:drawing>
      </w:r>
      <w:r>
        <w:rPr>
          <w:rFonts w:hint="eastAsia" w:ascii="宋体" w:hAnsi="宋体" w:eastAsia="宋体" w:cs="宋体"/>
          <w:szCs w:val="21"/>
        </w:rPr>
        <w:fldChar w:fldCharType="separate"/>
      </w:r>
      <w:r>
        <w:rPr>
          <w:rFonts w:hint="eastAsia" w:ascii="宋体" w:hAnsi="宋体" w:eastAsia="宋体" w:cs="宋体"/>
          <w:position w:val="-21"/>
          <w:szCs w:val="21"/>
        </w:rPr>
        <w:drawing>
          <wp:inline distT="0" distB="0" distL="114300" distR="114300">
            <wp:extent cx="1304925" cy="400050"/>
            <wp:effectExtent l="0" t="0" r="95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7"/>
                    <a:stretch>
                      <a:fillRect/>
                    </a:stretch>
                  </pic:blipFill>
                  <pic:spPr>
                    <a:xfrm>
                      <a:off x="0" y="0"/>
                      <a:ext cx="1304925" cy="400050"/>
                    </a:xfrm>
                    <a:prstGeom prst="rect">
                      <a:avLst/>
                    </a:prstGeom>
                    <a:noFill/>
                    <a:ln>
                      <a:noFill/>
                    </a:ln>
                  </pic:spPr>
                </pic:pic>
              </a:graphicData>
            </a:graphic>
          </wp:inline>
        </w:drawing>
      </w:r>
      <w:r>
        <w:rPr>
          <w:rFonts w:hint="eastAsia" w:ascii="宋体" w:hAnsi="宋体" w:eastAsia="宋体" w:cs="宋体"/>
          <w:szCs w:val="21"/>
        </w:rPr>
        <w:fldChar w:fldCharType="end"/>
      </w:r>
    </w:p>
    <w:p>
      <w:pPr>
        <w:adjustRightInd w:val="0"/>
        <w:snapToGrid w:val="0"/>
        <w:spacing w:line="360" w:lineRule="auto"/>
        <w:ind w:firstLine="735" w:firstLineChars="350"/>
        <w:jc w:val="left"/>
        <w:rPr>
          <w:rFonts w:hint="eastAsia"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vertAlign w:val="subscript"/>
        </w:rPr>
        <w:t>1</w:t>
      </w:r>
      <w:r>
        <w:rPr>
          <w:rFonts w:hint="eastAsia" w:ascii="宋体" w:hAnsi="宋体" w:eastAsia="宋体" w:cs="宋体"/>
          <w:szCs w:val="21"/>
        </w:rPr>
        <w:t>、A</w:t>
      </w:r>
      <w:r>
        <w:rPr>
          <w:rFonts w:hint="eastAsia" w:ascii="宋体" w:hAnsi="宋体" w:eastAsia="宋体" w:cs="宋体"/>
          <w:szCs w:val="21"/>
          <w:vertAlign w:val="subscript"/>
        </w:rPr>
        <w:t>2</w:t>
      </w:r>
      <w:r>
        <w:rPr>
          <w:rFonts w:hint="eastAsia" w:ascii="宋体" w:hAnsi="宋体" w:eastAsia="宋体" w:cs="宋体"/>
          <w:szCs w:val="21"/>
        </w:rPr>
        <w:t>、……An 分别为进入基准价计算的各投标人的投标报价(算术修正后); N为进入基准价计算的投标人投标报价的个数。</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3、投标报价的偏差率(X2，绝对值)</w:t>
      </w:r>
      <w:r>
        <w:rPr>
          <w:rFonts w:hint="eastAsia" w:ascii="宋体" w:hAnsi="宋体" w:eastAsia="宋体" w:cs="宋体"/>
          <w:szCs w:val="21"/>
        </w:rPr>
        <w:fldChar w:fldCharType="begin"/>
      </w:r>
      <w:r>
        <w:rPr>
          <w:rFonts w:hint="eastAsia" w:ascii="宋体" w:hAnsi="宋体" w:eastAsia="宋体" w:cs="宋体"/>
          <w:szCs w:val="21"/>
        </w:rPr>
        <w:instrText xml:space="preserve"> QUOTE </w:instrText>
      </w:r>
      <w:r>
        <w:rPr>
          <w:rFonts w:hint="eastAsia" w:ascii="宋体" w:hAnsi="宋体" w:eastAsia="宋体" w:cs="宋体"/>
          <w:szCs w:val="21"/>
        </w:rPr>
        <w:drawing>
          <wp:inline distT="0" distB="0" distL="114300" distR="114300">
            <wp:extent cx="1647825" cy="400050"/>
            <wp:effectExtent l="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8"/>
                    <a:stretch>
                      <a:fillRect/>
                    </a:stretch>
                  </pic:blipFill>
                  <pic:spPr>
                    <a:xfrm>
                      <a:off x="0" y="0"/>
                      <a:ext cx="1647825" cy="400050"/>
                    </a:xfrm>
                    <a:prstGeom prst="rect">
                      <a:avLst/>
                    </a:prstGeom>
                    <a:noFill/>
                    <a:ln>
                      <a:noFill/>
                    </a:ln>
                  </pic:spPr>
                </pic:pic>
              </a:graphicData>
            </a:graphic>
          </wp:inline>
        </w:drawing>
      </w:r>
      <w:r>
        <w:rPr>
          <w:rFonts w:hint="eastAsia" w:ascii="宋体" w:hAnsi="宋体" w:eastAsia="宋体" w:cs="宋体"/>
          <w:szCs w:val="21"/>
        </w:rPr>
        <w:fldChar w:fldCharType="end"/>
      </w:r>
      <w:r>
        <w:rPr>
          <w:rFonts w:hint="eastAsia" w:ascii="宋体" w:hAnsi="宋体" w:eastAsia="宋体" w:cs="宋体"/>
          <w:szCs w:val="21"/>
        </w:rPr>
        <w:drawing>
          <wp:inline distT="0" distB="0" distL="114300" distR="114300">
            <wp:extent cx="1647825" cy="40005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8"/>
                    <a:stretch>
                      <a:fillRect/>
                    </a:stretch>
                  </pic:blipFill>
                  <pic:spPr>
                    <a:xfrm>
                      <a:off x="0" y="0"/>
                      <a:ext cx="1647825" cy="400050"/>
                    </a:xfrm>
                    <a:prstGeom prst="rect">
                      <a:avLst/>
                    </a:prstGeom>
                    <a:noFill/>
                    <a:ln>
                      <a:noFill/>
                    </a:ln>
                  </pic:spPr>
                </pic:pic>
              </a:graphicData>
            </a:graphic>
          </wp:inline>
        </w:drawing>
      </w:r>
      <w:r>
        <w:rPr>
          <w:rFonts w:hint="eastAsia" w:ascii="宋体" w:hAnsi="宋体" w:eastAsia="宋体" w:cs="宋体"/>
          <w:szCs w:val="21"/>
        </w:rPr>
        <w:t>×100%的绝对值</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4、最终投标价以人民币元为单位，计算保留至小数点后2位（百分比亦然），小数点后第3位采取4舍5入。</w:t>
      </w:r>
    </w:p>
    <w:p>
      <w:pPr>
        <w:adjustRightInd w:val="0"/>
        <w:snapToGrid w:val="0"/>
        <w:spacing w:line="360" w:lineRule="auto"/>
        <w:ind w:firstLine="522" w:firstLineChars="249"/>
        <w:jc w:val="left"/>
        <w:rPr>
          <w:rFonts w:hint="eastAsia" w:ascii="宋体" w:hAnsi="宋体" w:eastAsia="宋体" w:cs="宋体"/>
          <w:szCs w:val="21"/>
        </w:rPr>
      </w:pPr>
      <w:r>
        <w:rPr>
          <w:rFonts w:hint="eastAsia" w:ascii="宋体" w:hAnsi="宋体" w:eastAsia="宋体" w:cs="宋体"/>
          <w:szCs w:val="21"/>
        </w:rPr>
        <w:t>5、计算基准价的投标报价的条件为：（1）投标人为符合本招标文件要求的合格投标人；（2）当投标报价的最低价≤0.8×投标报价的次低价的，该最低价不参与计算基准价且价格报价部分不计分；当投标报价的最高价≥1.2×投标报价的次高价的，该最高价不参与计算基准价且价格报价部分不计分。</w:t>
      </w:r>
    </w:p>
    <w:p>
      <w:pPr>
        <w:rPr>
          <w:rFonts w:hint="eastAsia" w:ascii="宋体" w:hAnsi="宋体" w:eastAsia="宋体" w:cs="宋体"/>
          <w:szCs w:val="21"/>
        </w:rPr>
      </w:pPr>
    </w:p>
    <w:p>
      <w:pPr>
        <w:widowControl/>
        <w:rPr>
          <w:rFonts w:hint="eastAsia" w:ascii="宋体" w:hAnsi="宋体" w:eastAsia="宋体" w:cs="宋体"/>
          <w:b/>
          <w:szCs w:val="21"/>
        </w:rPr>
      </w:pPr>
      <w:r>
        <w:rPr>
          <w:rFonts w:hint="eastAsia" w:ascii="宋体" w:hAnsi="宋体" w:eastAsia="宋体" w:cs="宋体"/>
          <w:b/>
          <w:szCs w:val="21"/>
        </w:rPr>
        <w:t>评委签字：</w:t>
      </w:r>
    </w:p>
    <w:p>
      <w:pPr>
        <w:widowControl/>
        <w:jc w:val="center"/>
        <w:rPr>
          <w:rFonts w:hint="eastAsia" w:ascii="宋体" w:hAnsi="宋体" w:eastAsia="宋体" w:cs="宋体"/>
          <w:b/>
          <w:sz w:val="24"/>
        </w:rPr>
      </w:pPr>
    </w:p>
    <w:p>
      <w:pPr>
        <w:pStyle w:val="3"/>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pStyle w:val="20"/>
        <w:ind w:firstLine="482"/>
        <w:rPr>
          <w:rFonts w:hint="eastAsia" w:ascii="宋体" w:hAnsi="宋体" w:eastAsia="宋体" w:cs="宋体"/>
          <w:b/>
          <w:sz w:val="24"/>
        </w:rPr>
      </w:pPr>
    </w:p>
    <w:p>
      <w:pPr>
        <w:widowControl/>
        <w:jc w:val="center"/>
        <w:rPr>
          <w:rFonts w:hint="eastAsia" w:ascii="宋体" w:hAnsi="宋体" w:eastAsia="宋体" w:cs="宋体"/>
          <w:b/>
          <w:szCs w:val="21"/>
        </w:rPr>
      </w:pPr>
      <w:r>
        <w:rPr>
          <w:rFonts w:hint="eastAsia" w:ascii="宋体" w:hAnsi="宋体" w:eastAsia="宋体" w:cs="宋体"/>
          <w:b/>
          <w:szCs w:val="21"/>
        </w:rPr>
        <w:t>3、综合得分</w:t>
      </w:r>
    </w:p>
    <w:p>
      <w:pPr>
        <w:snapToGrid w:val="0"/>
        <w:spacing w:line="420" w:lineRule="exact"/>
        <w:ind w:firstLine="420" w:firstLineChars="200"/>
        <w:rPr>
          <w:rFonts w:hint="eastAsia" w:ascii="宋体" w:hAnsi="宋体" w:eastAsia="宋体" w:cs="宋体"/>
          <w:szCs w:val="21"/>
        </w:rPr>
      </w:pPr>
      <w:r>
        <w:rPr>
          <w:rFonts w:hint="eastAsia" w:ascii="宋体" w:hAnsi="宋体" w:eastAsia="宋体" w:cs="宋体"/>
          <w:szCs w:val="21"/>
        </w:rPr>
        <w:t>评标委员会对合格投标人的公司实力评分、技术服务方案评分和投标报价评分共三个部分的得分进行汇总，得到各投标人的综合得分。</w:t>
      </w:r>
    </w:p>
    <w:p>
      <w:pPr>
        <w:spacing w:line="400" w:lineRule="exact"/>
        <w:ind w:right="-1233" w:rightChars="-587"/>
        <w:jc w:val="center"/>
        <w:rPr>
          <w:rFonts w:hint="eastAsia" w:ascii="宋体" w:hAnsi="宋体" w:eastAsia="宋体" w:cs="宋体"/>
          <w:b/>
          <w:bCs/>
          <w:szCs w:val="21"/>
        </w:rPr>
      </w:pPr>
      <w:r>
        <w:rPr>
          <w:rFonts w:hint="eastAsia" w:ascii="宋体" w:hAnsi="宋体" w:eastAsia="宋体" w:cs="宋体"/>
          <w:b/>
          <w:bCs/>
          <w:szCs w:val="21"/>
        </w:rPr>
        <w:t>投标人综合得分汇总计算表</w:t>
      </w:r>
    </w:p>
    <w:tbl>
      <w:tblPr>
        <w:tblStyle w:val="15"/>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692"/>
        <w:gridCol w:w="1692"/>
        <w:gridCol w:w="1692"/>
        <w:gridCol w:w="1692"/>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exact"/>
          <w:jc w:val="center"/>
        </w:trPr>
        <w:tc>
          <w:tcPr>
            <w:tcW w:w="1620"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评委编号</w:t>
            </w:r>
          </w:p>
        </w:tc>
        <w:tc>
          <w:tcPr>
            <w:tcW w:w="8460" w:type="dxa"/>
            <w:gridSpan w:val="5"/>
            <w:vAlign w:val="center"/>
          </w:tcPr>
          <w:p>
            <w:pPr>
              <w:jc w:val="center"/>
              <w:rPr>
                <w:rFonts w:hint="eastAsia" w:ascii="宋体" w:hAnsi="宋体" w:eastAsia="宋体" w:cs="宋体"/>
                <w:szCs w:val="21"/>
              </w:rPr>
            </w:pPr>
            <w:r>
              <w:rPr>
                <w:rFonts w:hint="eastAsia" w:ascii="宋体" w:hAnsi="宋体" w:eastAsia="宋体" w:cs="宋体"/>
                <w:szCs w:val="21"/>
              </w:rPr>
              <w:t>投标人名称及得分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jc w:val="center"/>
        </w:trPr>
        <w:tc>
          <w:tcPr>
            <w:tcW w:w="1620" w:type="dxa"/>
            <w:vMerge w:val="continue"/>
            <w:vAlign w:val="center"/>
          </w:tcPr>
          <w:p>
            <w:pPr>
              <w:widowControl/>
              <w:jc w:val="left"/>
              <w:rPr>
                <w:rFonts w:hint="eastAsia" w:ascii="宋体" w:hAnsi="宋体" w:eastAsia="宋体" w:cs="宋体"/>
                <w:szCs w:val="21"/>
              </w:rPr>
            </w:pPr>
          </w:p>
        </w:tc>
        <w:tc>
          <w:tcPr>
            <w:tcW w:w="1692" w:type="dxa"/>
            <w:vAlign w:val="center"/>
          </w:tcPr>
          <w:p>
            <w:pPr>
              <w:spacing w:line="200" w:lineRule="exact"/>
              <w:jc w:val="center"/>
              <w:rPr>
                <w:rFonts w:hint="eastAsia" w:ascii="宋体" w:hAnsi="宋体" w:eastAsia="宋体" w:cs="宋体"/>
                <w:szCs w:val="21"/>
              </w:rPr>
            </w:pPr>
          </w:p>
        </w:tc>
        <w:tc>
          <w:tcPr>
            <w:tcW w:w="1692" w:type="dxa"/>
            <w:tcBorders>
              <w:right w:val="single" w:color="auto" w:sz="4" w:space="0"/>
            </w:tcBorders>
            <w:vAlign w:val="center"/>
          </w:tcPr>
          <w:p>
            <w:pPr>
              <w:spacing w:line="200" w:lineRule="exact"/>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spacing w:line="200" w:lineRule="exact"/>
              <w:jc w:val="center"/>
              <w:rPr>
                <w:rFonts w:hint="eastAsia" w:ascii="宋体" w:hAnsi="宋体" w:eastAsia="宋体" w:cs="宋体"/>
                <w:szCs w:val="21"/>
              </w:rPr>
            </w:pPr>
          </w:p>
        </w:tc>
        <w:tc>
          <w:tcPr>
            <w:tcW w:w="1692" w:type="dxa"/>
            <w:tcBorders>
              <w:left w:val="single" w:color="auto" w:sz="4" w:space="0"/>
            </w:tcBorders>
            <w:vAlign w:val="center"/>
          </w:tcPr>
          <w:p>
            <w:pPr>
              <w:spacing w:line="200" w:lineRule="exact"/>
              <w:jc w:val="center"/>
              <w:rPr>
                <w:rFonts w:hint="eastAsia" w:ascii="宋体" w:hAnsi="宋体" w:eastAsia="宋体" w:cs="宋体"/>
                <w:szCs w:val="21"/>
              </w:rPr>
            </w:pPr>
          </w:p>
        </w:tc>
        <w:tc>
          <w:tcPr>
            <w:tcW w:w="1692" w:type="dxa"/>
            <w:vAlign w:val="center"/>
          </w:tcPr>
          <w:p>
            <w:pPr>
              <w:spacing w:line="200" w:lineRule="exact"/>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bottom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bottom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合计</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bottom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平均</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right w:val="single" w:color="auto" w:sz="4" w:space="0"/>
            </w:tcBorders>
            <w:vAlign w:val="center"/>
          </w:tcPr>
          <w:p>
            <w:pPr>
              <w:jc w:val="center"/>
              <w:rPr>
                <w:rFonts w:hint="eastAsia" w:ascii="宋体" w:hAnsi="宋体" w:eastAsia="宋体" w:cs="宋体"/>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tcBorders>
              <w:top w:val="single" w:color="auto" w:sz="4" w:space="0"/>
            </w:tcBorders>
            <w:vAlign w:val="center"/>
          </w:tcPr>
          <w:p>
            <w:pPr>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620" w:type="dxa"/>
            <w:vAlign w:val="center"/>
          </w:tcPr>
          <w:p>
            <w:pPr>
              <w:jc w:val="center"/>
              <w:rPr>
                <w:rFonts w:hint="eastAsia" w:ascii="宋体" w:hAnsi="宋体" w:eastAsia="宋体" w:cs="宋体"/>
                <w:szCs w:val="21"/>
              </w:rPr>
            </w:pPr>
            <w:r>
              <w:rPr>
                <w:rFonts w:hint="eastAsia" w:ascii="宋体" w:hAnsi="宋体" w:eastAsia="宋体" w:cs="宋体"/>
                <w:szCs w:val="21"/>
              </w:rPr>
              <w:t>投标人排序</w:t>
            </w: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right w:val="single" w:color="auto" w:sz="4" w:space="0"/>
            </w:tcBorders>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c>
          <w:tcPr>
            <w:tcW w:w="1692" w:type="dxa"/>
            <w:tcBorders>
              <w:left w:val="single" w:color="auto" w:sz="4" w:space="0"/>
            </w:tcBorders>
            <w:vAlign w:val="center"/>
          </w:tcPr>
          <w:p>
            <w:pPr>
              <w:jc w:val="center"/>
              <w:rPr>
                <w:rFonts w:hint="eastAsia" w:ascii="宋体" w:hAnsi="宋体" w:eastAsia="宋体" w:cs="宋体"/>
                <w:szCs w:val="21"/>
              </w:rPr>
            </w:pPr>
          </w:p>
        </w:tc>
        <w:tc>
          <w:tcPr>
            <w:tcW w:w="1692" w:type="dxa"/>
            <w:vAlign w:val="center"/>
          </w:tcPr>
          <w:p>
            <w:pPr>
              <w:pStyle w:val="10"/>
              <w:pBdr>
                <w:bottom w:val="none" w:color="auto" w:sz="0" w:space="0"/>
              </w:pBdr>
              <w:tabs>
                <w:tab w:val="clear" w:pos="4153"/>
                <w:tab w:val="clear" w:pos="8306"/>
              </w:tabs>
              <w:snapToGrid/>
              <w:rPr>
                <w:rFonts w:hint="eastAsia" w:ascii="宋体" w:hAnsi="宋体" w:eastAsia="宋体" w:cs="宋体"/>
                <w:sz w:val="21"/>
                <w:szCs w:val="21"/>
              </w:rPr>
            </w:pPr>
          </w:p>
        </w:tc>
      </w:tr>
    </w:tbl>
    <w:p>
      <w:pPr>
        <w:spacing w:line="360" w:lineRule="auto"/>
        <w:ind w:left="629"/>
        <w:rPr>
          <w:rFonts w:hint="eastAsia" w:ascii="宋体" w:hAnsi="宋体" w:eastAsia="宋体" w:cs="宋体"/>
          <w:b/>
          <w:bCs/>
          <w:szCs w:val="21"/>
        </w:rPr>
      </w:pPr>
      <w:r>
        <w:rPr>
          <w:rFonts w:hint="eastAsia" w:ascii="宋体" w:hAnsi="宋体" w:eastAsia="宋体" w:cs="宋体"/>
          <w:b/>
          <w:bCs/>
          <w:szCs w:val="21"/>
        </w:rPr>
        <w:t>计算规则：</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1、计算判断投标报价是否为进入计算加权算术平均的投标报价时，保留2位小数；评分计算保留2位小数（百分比亦取2位小数），第三位小数四舍五入。</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2、一个计分内容有2个或2个以上计分的单项评分视为无效分。</w:t>
      </w:r>
    </w:p>
    <w:p>
      <w:pPr>
        <w:spacing w:line="360" w:lineRule="auto"/>
        <w:ind w:firstLine="422" w:firstLineChars="200"/>
        <w:rPr>
          <w:rFonts w:hint="eastAsia" w:ascii="宋体" w:hAnsi="宋体" w:eastAsia="宋体" w:cs="宋体"/>
          <w:b/>
          <w:bCs/>
          <w:szCs w:val="21"/>
        </w:rPr>
      </w:pPr>
    </w:p>
    <w:p>
      <w:pPr>
        <w:spacing w:line="300" w:lineRule="exact"/>
        <w:rPr>
          <w:rFonts w:hint="eastAsia" w:ascii="宋体" w:hAnsi="宋体" w:eastAsia="宋体" w:cs="宋体"/>
          <w:szCs w:val="21"/>
        </w:rPr>
      </w:pPr>
    </w:p>
    <w:p>
      <w:pPr>
        <w:snapToGrid w:val="0"/>
        <w:spacing w:line="320" w:lineRule="atLeast"/>
        <w:rPr>
          <w:rFonts w:hint="eastAsia" w:ascii="宋体" w:hAnsi="宋体" w:eastAsia="宋体" w:cs="宋体"/>
          <w:szCs w:val="21"/>
        </w:rPr>
      </w:pPr>
      <w:r>
        <w:rPr>
          <w:rFonts w:hint="eastAsia" w:ascii="宋体" w:hAnsi="宋体" w:eastAsia="宋体" w:cs="宋体"/>
          <w:szCs w:val="21"/>
        </w:rPr>
        <w:t>评委签字：</w:t>
      </w:r>
    </w:p>
    <w:p>
      <w:pPr>
        <w:rPr>
          <w:rFonts w:hint="eastAsia" w:ascii="宋体" w:hAnsi="宋体" w:eastAsia="宋体" w:cs="宋体"/>
          <w:b/>
          <w:szCs w:val="21"/>
        </w:rPr>
      </w:pPr>
    </w:p>
    <w:p>
      <w:pPr>
        <w:spacing w:line="440" w:lineRule="exact"/>
        <w:jc w:val="center"/>
        <w:rPr>
          <w:rFonts w:hint="eastAsia" w:ascii="宋体" w:hAnsi="宋体" w:eastAsia="宋体" w:cs="宋体"/>
          <w:b/>
          <w:sz w:val="24"/>
        </w:rPr>
      </w:pPr>
      <w:r>
        <w:rPr>
          <w:rFonts w:hint="eastAsia" w:ascii="宋体" w:hAnsi="宋体" w:eastAsia="宋体" w:cs="宋体"/>
          <w:b/>
          <w:szCs w:val="21"/>
        </w:rPr>
        <w:br w:type="page"/>
      </w:r>
      <w:r>
        <w:rPr>
          <w:rFonts w:hint="eastAsia" w:ascii="宋体" w:hAnsi="宋体" w:eastAsia="宋体" w:cs="宋体"/>
          <w:b/>
          <w:sz w:val="24"/>
        </w:rPr>
        <w:t>推荐中标候选人名单</w:t>
      </w:r>
    </w:p>
    <w:tbl>
      <w:tblPr>
        <w:tblStyle w:val="15"/>
        <w:tblW w:w="99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545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2094" w:type="dxa"/>
            <w:tcBorders>
              <w:top w:val="single" w:color="000000" w:sz="12"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排序</w:t>
            </w:r>
          </w:p>
        </w:tc>
        <w:tc>
          <w:tcPr>
            <w:tcW w:w="5450" w:type="dxa"/>
            <w:tcBorders>
              <w:top w:val="single" w:color="000000" w:sz="12"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中标候选人</w:t>
            </w:r>
          </w:p>
        </w:tc>
        <w:tc>
          <w:tcPr>
            <w:tcW w:w="2430" w:type="dxa"/>
            <w:tcBorders>
              <w:top w:val="single" w:color="000000" w:sz="12" w:space="0"/>
              <w:left w:val="single" w:color="auto" w:sz="4" w:space="0"/>
              <w:bottom w:val="single" w:color="auto" w:sz="4" w:space="0"/>
              <w:right w:val="single" w:color="000000" w:sz="12" w:space="0"/>
            </w:tcBorders>
            <w:vAlign w:val="center"/>
          </w:tcPr>
          <w:p>
            <w:pPr>
              <w:spacing w:line="240" w:lineRule="auto"/>
              <w:ind w:left="136" w:leftChars="65"/>
              <w:jc w:val="center"/>
              <w:rPr>
                <w:rFonts w:hint="eastAsia" w:ascii="宋体" w:hAnsi="宋体" w:eastAsia="宋体" w:cs="宋体"/>
                <w:sz w:val="24"/>
              </w:rPr>
            </w:pPr>
            <w:r>
              <w:rPr>
                <w:rFonts w:hint="eastAsia" w:ascii="宋体" w:hAnsi="宋体" w:eastAsia="宋体" w:cs="宋体"/>
                <w:sz w:val="24"/>
              </w:rPr>
              <w:t>采用综合评估法得分情况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第一名</w:t>
            </w:r>
          </w:p>
        </w:tc>
        <w:tc>
          <w:tcPr>
            <w:tcW w:w="54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auto" w:sz="4" w:space="0"/>
              <w:right w:val="single" w:color="000000" w:sz="12" w:space="0"/>
            </w:tcBorders>
            <w:vAlign w:val="center"/>
          </w:tcPr>
          <w:p>
            <w:pPr>
              <w:spacing w:line="24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第二名</w:t>
            </w:r>
          </w:p>
        </w:tc>
        <w:tc>
          <w:tcPr>
            <w:tcW w:w="54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auto" w:sz="4" w:space="0"/>
              <w:right w:val="single" w:color="000000" w:sz="12" w:space="0"/>
            </w:tcBorders>
            <w:vAlign w:val="center"/>
          </w:tcPr>
          <w:p>
            <w:pPr>
              <w:spacing w:line="24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exact"/>
          <w:jc w:val="center"/>
        </w:trPr>
        <w:tc>
          <w:tcPr>
            <w:tcW w:w="2094" w:type="dxa"/>
            <w:tcBorders>
              <w:top w:val="single" w:color="auto" w:sz="4" w:space="0"/>
              <w:left w:val="single" w:color="000000" w:sz="12" w:space="0"/>
              <w:bottom w:val="single" w:color="000000" w:sz="12" w:space="0"/>
              <w:right w:val="single" w:color="auto" w:sz="4" w:space="0"/>
            </w:tcBorders>
            <w:vAlign w:val="center"/>
          </w:tcPr>
          <w:p>
            <w:pPr>
              <w:spacing w:line="240" w:lineRule="auto"/>
              <w:jc w:val="center"/>
              <w:rPr>
                <w:rFonts w:hint="eastAsia" w:ascii="宋体" w:hAnsi="宋体" w:eastAsia="宋体" w:cs="宋体"/>
                <w:sz w:val="24"/>
              </w:rPr>
            </w:pPr>
            <w:r>
              <w:rPr>
                <w:rFonts w:hint="eastAsia" w:ascii="宋体" w:hAnsi="宋体" w:eastAsia="宋体" w:cs="宋体"/>
                <w:sz w:val="24"/>
              </w:rPr>
              <w:t>第三名</w:t>
            </w:r>
          </w:p>
        </w:tc>
        <w:tc>
          <w:tcPr>
            <w:tcW w:w="5450" w:type="dxa"/>
            <w:tcBorders>
              <w:top w:val="single" w:color="auto" w:sz="4" w:space="0"/>
              <w:left w:val="single" w:color="auto" w:sz="4" w:space="0"/>
              <w:bottom w:val="single" w:color="000000" w:sz="12" w:space="0"/>
              <w:right w:val="single" w:color="auto" w:sz="4" w:space="0"/>
            </w:tcBorders>
            <w:vAlign w:val="center"/>
          </w:tcPr>
          <w:p>
            <w:pPr>
              <w:spacing w:line="240" w:lineRule="auto"/>
              <w:jc w:val="center"/>
              <w:rPr>
                <w:rFonts w:hint="eastAsia" w:ascii="宋体" w:hAnsi="宋体" w:eastAsia="宋体" w:cs="宋体"/>
                <w:sz w:val="24"/>
              </w:rPr>
            </w:pPr>
          </w:p>
        </w:tc>
        <w:tc>
          <w:tcPr>
            <w:tcW w:w="2430" w:type="dxa"/>
            <w:tcBorders>
              <w:top w:val="single" w:color="auto" w:sz="4" w:space="0"/>
              <w:left w:val="single" w:color="auto" w:sz="4" w:space="0"/>
              <w:bottom w:val="single" w:color="000000" w:sz="12" w:space="0"/>
              <w:right w:val="single" w:color="000000" w:sz="12" w:space="0"/>
            </w:tcBorders>
            <w:vAlign w:val="center"/>
          </w:tcPr>
          <w:p>
            <w:pPr>
              <w:spacing w:line="240" w:lineRule="auto"/>
              <w:jc w:val="center"/>
              <w:rPr>
                <w:rFonts w:hint="eastAsia" w:ascii="宋体" w:hAnsi="宋体" w:eastAsia="宋体" w:cs="宋体"/>
                <w:sz w:val="24"/>
              </w:rPr>
            </w:pPr>
          </w:p>
        </w:tc>
      </w:tr>
    </w:tbl>
    <w:p>
      <w:pPr>
        <w:spacing w:line="440" w:lineRule="exact"/>
        <w:ind w:firstLine="479" w:firstLineChars="199"/>
        <w:rPr>
          <w:rFonts w:hint="eastAsia" w:ascii="宋体" w:hAnsi="宋体" w:eastAsia="宋体" w:cs="宋体"/>
          <w:sz w:val="24"/>
        </w:rPr>
      </w:pPr>
      <w:r>
        <w:rPr>
          <w:rFonts w:hint="eastAsia" w:ascii="宋体" w:hAnsi="宋体" w:eastAsia="宋体" w:cs="宋体"/>
          <w:b/>
          <w:sz w:val="24"/>
        </w:rPr>
        <w:t>评委签字：</w:t>
      </w:r>
    </w:p>
    <w:p>
      <w:pPr>
        <w:spacing w:line="440" w:lineRule="exact"/>
        <w:jc w:val="center"/>
        <w:rPr>
          <w:rFonts w:hint="eastAsia" w:ascii="宋体" w:hAnsi="宋体" w:eastAsia="宋体" w:cs="宋体"/>
          <w:szCs w:val="21"/>
        </w:rPr>
      </w:pPr>
    </w:p>
    <w:p>
      <w:pPr>
        <w:spacing w:line="440" w:lineRule="exact"/>
        <w:rPr>
          <w:rFonts w:hint="eastAsia" w:ascii="宋体" w:hAnsi="宋体" w:eastAsia="宋体" w:cs="宋体"/>
          <w:szCs w:val="21"/>
        </w:rPr>
      </w:pPr>
    </w:p>
    <w:p>
      <w:pPr>
        <w:rPr>
          <w:rFonts w:hint="eastAsia" w:ascii="宋体" w:hAnsi="宋体" w:eastAsia="宋体" w:cs="宋体"/>
        </w:rPr>
      </w:pPr>
    </w:p>
    <w:p>
      <w:pPr>
        <w:rPr>
          <w:rFonts w:hint="eastAsia" w:ascii="宋体" w:hAnsi="宋体" w:eastAsia="宋体" w:cs="宋体"/>
          <w:b/>
          <w:bCs/>
          <w:szCs w:val="21"/>
        </w:rPr>
      </w:pPr>
    </w:p>
    <w:p>
      <w:pPr>
        <w:pStyle w:val="4"/>
        <w:rPr>
          <w:rFonts w:hint="eastAsia" w:ascii="宋体" w:hAnsi="宋体" w:eastAsia="宋体" w:cs="宋体"/>
          <w:sz w:val="21"/>
          <w:szCs w:val="21"/>
        </w:rPr>
      </w:pPr>
    </w:p>
    <w:p>
      <w:pPr>
        <w:spacing w:line="440" w:lineRule="exact"/>
        <w:rPr>
          <w:rFonts w:hint="eastAsia" w:ascii="宋体" w:hAnsi="宋体" w:eastAsia="宋体" w:cs="宋体"/>
          <w:szCs w:val="21"/>
        </w:rPr>
      </w:pPr>
    </w:p>
    <w:p>
      <w:pPr>
        <w:rPr>
          <w:rFonts w:hint="eastAsia" w:ascii="宋体" w:hAnsi="宋体" w:eastAsia="宋体" w:cs="宋体"/>
          <w:szCs w:val="21"/>
        </w:rPr>
      </w:pPr>
    </w:p>
    <w:p>
      <w:pPr>
        <w:pStyle w:val="3"/>
        <w:rPr>
          <w:rFonts w:hint="eastAsia" w:ascii="宋体" w:hAnsi="宋体" w:eastAsia="宋体" w:cs="宋体"/>
          <w:szCs w:val="21"/>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宋体" w:hAnsi="宋体" w:eastAsia="宋体" w:cs="宋体"/>
          <w:bCs w:val="0"/>
          <w:color w:val="auto"/>
          <w:kern w:val="2"/>
          <w:sz w:val="28"/>
          <w:szCs w:val="28"/>
          <w:lang w:val="en-US" w:eastAsia="zh-CN" w:bidi="ar-SA"/>
        </w:rPr>
      </w:pPr>
      <w:r>
        <w:rPr>
          <w:rFonts w:hint="eastAsia" w:ascii="宋体" w:hAnsi="宋体" w:eastAsia="宋体" w:cs="宋体"/>
          <w:bCs w:val="0"/>
          <w:color w:val="auto"/>
          <w:kern w:val="2"/>
          <w:sz w:val="28"/>
          <w:szCs w:val="28"/>
          <w:lang w:val="en-US" w:eastAsia="zh-CN" w:bidi="ar-SA"/>
        </w:rPr>
        <w:t>附件：中标通知书</w:t>
      </w:r>
    </w:p>
    <w:p>
      <w:pPr>
        <w:pStyle w:val="3"/>
        <w:tabs>
          <w:tab w:val="left" w:pos="1439"/>
          <w:tab w:val="left" w:pos="2879"/>
          <w:tab w:val="left" w:pos="4319"/>
          <w:tab w:val="left" w:pos="5759"/>
        </w:tabs>
        <w:kinsoku w:val="0"/>
        <w:overflowPunct w:val="0"/>
        <w:spacing w:line="903" w:lineRule="exact"/>
        <w:ind w:right="539"/>
        <w:jc w:val="center"/>
        <w:rPr>
          <w:rFonts w:hint="eastAsia" w:ascii="宋体" w:hAnsi="宋体" w:eastAsia="宋体" w:cs="宋体"/>
          <w:color w:val="FF0000"/>
          <w:sz w:val="72"/>
        </w:rPr>
      </w:pPr>
      <w:r>
        <w:rPr>
          <w:rFonts w:hint="eastAsia" w:ascii="宋体" w:hAnsi="宋体" w:eastAsia="宋体" w:cs="宋体"/>
          <w:color w:val="FF0000"/>
          <w:sz w:val="72"/>
        </w:rPr>
        <w:t>中</w:t>
      </w:r>
      <w:r>
        <w:rPr>
          <w:rFonts w:hint="eastAsia" w:ascii="宋体" w:hAnsi="宋体" w:eastAsia="宋体" w:cs="宋体"/>
          <w:color w:val="FF0000"/>
          <w:sz w:val="72"/>
        </w:rPr>
        <w:tab/>
      </w:r>
      <w:r>
        <w:rPr>
          <w:rFonts w:hint="eastAsia" w:ascii="宋体" w:hAnsi="宋体" w:eastAsia="宋体" w:cs="宋体"/>
          <w:color w:val="FF0000"/>
          <w:sz w:val="72"/>
        </w:rPr>
        <w:t>标</w:t>
      </w:r>
      <w:r>
        <w:rPr>
          <w:rFonts w:hint="eastAsia" w:ascii="宋体" w:hAnsi="宋体" w:eastAsia="宋体" w:cs="宋体"/>
          <w:color w:val="FF0000"/>
          <w:sz w:val="72"/>
        </w:rPr>
        <w:tab/>
      </w:r>
      <w:r>
        <w:rPr>
          <w:rFonts w:hint="eastAsia" w:ascii="宋体" w:hAnsi="宋体" w:eastAsia="宋体" w:cs="宋体"/>
          <w:color w:val="FF0000"/>
          <w:sz w:val="72"/>
        </w:rPr>
        <w:t>通</w:t>
      </w:r>
      <w:r>
        <w:rPr>
          <w:rFonts w:hint="eastAsia" w:ascii="宋体" w:hAnsi="宋体" w:eastAsia="宋体" w:cs="宋体"/>
          <w:color w:val="FF0000"/>
          <w:sz w:val="72"/>
        </w:rPr>
        <w:tab/>
      </w:r>
      <w:r>
        <w:rPr>
          <w:rFonts w:hint="eastAsia" w:ascii="宋体" w:hAnsi="宋体" w:eastAsia="宋体" w:cs="宋体"/>
          <w:color w:val="FF0000"/>
          <w:sz w:val="72"/>
        </w:rPr>
        <w:t>知</w:t>
      </w:r>
      <w:r>
        <w:rPr>
          <w:rFonts w:hint="eastAsia" w:ascii="宋体" w:hAnsi="宋体" w:eastAsia="宋体" w:cs="宋体"/>
          <w:color w:val="FF0000"/>
          <w:sz w:val="72"/>
        </w:rPr>
        <w:tab/>
      </w:r>
      <w:r>
        <w:rPr>
          <w:rFonts w:hint="eastAsia" w:ascii="宋体" w:hAnsi="宋体" w:eastAsia="宋体" w:cs="宋体"/>
          <w:color w:val="FF0000"/>
          <w:sz w:val="72"/>
        </w:rPr>
        <w:t>书</w:t>
      </w:r>
    </w:p>
    <w:p>
      <w:pPr>
        <w:rPr>
          <w:rFonts w:hint="eastAsia" w:ascii="宋体" w:hAnsi="宋体" w:eastAsia="宋体" w:cs="宋体"/>
          <w:sz w:val="28"/>
        </w:rPr>
      </w:pPr>
    </w:p>
    <w:p>
      <w:pPr>
        <w:rPr>
          <w:rFonts w:hint="eastAsia" w:ascii="宋体" w:hAnsi="宋体" w:eastAsia="宋体" w:cs="宋体"/>
          <w:sz w:val="28"/>
          <w:lang w:val="en-US" w:eastAsia="zh-CN"/>
        </w:rPr>
      </w:pPr>
      <w:r>
        <w:rPr>
          <w:rFonts w:hint="eastAsia" w:ascii="宋体" w:hAnsi="宋体" w:eastAsia="宋体" w:cs="宋体"/>
          <w:sz w:val="28"/>
        </w:rPr>
        <w:t>中标通知书编号:</w:t>
      </w:r>
      <w:r>
        <w:rPr>
          <w:rFonts w:hint="eastAsia" w:ascii="宋体" w:hAnsi="宋体" w:eastAsia="宋体" w:cs="宋体"/>
          <w:sz w:val="28"/>
          <w:lang w:val="en-US" w:eastAsia="zh-CN"/>
        </w:rPr>
        <w:t>ZCXNY</w:t>
      </w:r>
      <w:r>
        <w:rPr>
          <w:rFonts w:hint="eastAsia" w:ascii="宋体" w:hAnsi="宋体" w:eastAsia="宋体" w:cs="宋体"/>
          <w:sz w:val="28"/>
        </w:rPr>
        <w:t>202</w:t>
      </w:r>
      <w:r>
        <w:rPr>
          <w:rFonts w:hint="eastAsia" w:ascii="宋体" w:hAnsi="宋体" w:eastAsia="宋体" w:cs="宋体"/>
          <w:sz w:val="28"/>
          <w:lang w:val="en-US" w:eastAsia="zh-CN"/>
        </w:rPr>
        <w:t>4</w:t>
      </w:r>
      <w:r>
        <w:rPr>
          <w:rFonts w:hint="eastAsia" w:ascii="宋体" w:hAnsi="宋体" w:eastAsia="宋体" w:cs="宋体"/>
          <w:sz w:val="28"/>
        </w:rPr>
        <w:t>-</w:t>
      </w:r>
      <w:r>
        <w:rPr>
          <w:rFonts w:hint="eastAsia" w:ascii="宋体" w:hAnsi="宋体" w:eastAsia="宋体" w:cs="宋体"/>
          <w:sz w:val="28"/>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4445" r="0" b="508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4q91&#10;Rl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宋体" w:hAnsi="宋体" w:eastAsia="宋体" w:cs="宋体"/>
          <w:sz w:val="28"/>
          <w:lang w:val="en-US" w:eastAsia="zh-CN"/>
        </w:rPr>
        <w:t>XXX</w:t>
      </w:r>
    </w:p>
    <w:p>
      <w:pPr>
        <w:spacing w:line="700" w:lineRule="exact"/>
        <w:jc w:val="center"/>
        <w:outlineLvl w:val="0"/>
        <w:rPr>
          <w:rFonts w:hint="eastAsia" w:ascii="宋体" w:hAnsi="宋体" w:eastAsia="宋体" w:cs="宋体"/>
          <w:sz w:val="28"/>
          <w:lang w:val="en-US" w:eastAsia="zh-CN"/>
        </w:rPr>
      </w:pPr>
      <w:r>
        <w:rPr>
          <w:rFonts w:hint="eastAsia" w:ascii="宋体" w:hAnsi="宋体" w:eastAsia="宋体" w:cs="宋体"/>
          <w:sz w:val="28"/>
        </w:rPr>
        <w:t>项目名称：</w:t>
      </w:r>
      <w:r>
        <w:rPr>
          <w:rFonts w:hint="eastAsia" w:ascii="宋体" w:hAnsi="宋体" w:eastAsia="宋体" w:cs="宋体"/>
          <w:sz w:val="28"/>
          <w:lang w:val="en-US" w:eastAsia="zh-CN"/>
        </w:rPr>
        <w:t>长沙汇富中心充电站项目</w:t>
      </w:r>
    </w:p>
    <w:p>
      <w:pPr>
        <w:rPr>
          <w:rFonts w:hint="eastAsia" w:ascii="宋体" w:hAnsi="宋体" w:eastAsia="宋体" w:cs="宋体"/>
          <w:sz w:val="22"/>
        </w:rPr>
      </w:pPr>
    </w:p>
    <w:p>
      <w:pPr>
        <w:adjustRightInd w:val="0"/>
        <w:snapToGrid w:val="0"/>
        <w:spacing w:line="480" w:lineRule="auto"/>
        <w:rPr>
          <w:rFonts w:hint="eastAsia" w:ascii="宋体" w:hAnsi="宋体" w:eastAsia="宋体" w:cs="宋体"/>
          <w:b/>
          <w:bCs/>
          <w:sz w:val="28"/>
        </w:rPr>
      </w:pPr>
      <w:r>
        <w:rPr>
          <w:rFonts w:hint="eastAsia" w:ascii="宋体" w:hAnsi="宋体" w:eastAsia="宋体" w:cs="宋体"/>
          <w:b/>
          <w:bCs/>
          <w:sz w:val="28"/>
          <w:lang w:val="en-US" w:eastAsia="zh-CN"/>
        </w:rPr>
        <w:t>XXX</w:t>
      </w:r>
      <w:r>
        <w:rPr>
          <w:rFonts w:hint="eastAsia" w:ascii="宋体" w:hAnsi="宋体" w:eastAsia="宋体" w:cs="宋体"/>
          <w:b/>
          <w:bCs/>
          <w:sz w:val="28"/>
          <w:lang w:eastAsia="zh-CN"/>
        </w:rPr>
        <w:t>公司</w:t>
      </w:r>
      <w:r>
        <w:rPr>
          <w:rFonts w:hint="eastAsia" w:ascii="宋体" w:hAnsi="宋体" w:eastAsia="宋体" w:cs="宋体"/>
          <w:b/>
          <w:bCs/>
          <w:sz w:val="28"/>
        </w:rPr>
        <w:t>：</w:t>
      </w:r>
    </w:p>
    <w:p>
      <w:pPr>
        <w:adjustRightInd w:val="0"/>
        <w:snapToGrid w:val="0"/>
        <w:spacing w:line="480" w:lineRule="auto"/>
        <w:ind w:firstLine="420" w:firstLineChars="150"/>
        <w:rPr>
          <w:rFonts w:hint="eastAsia" w:ascii="宋体" w:hAnsi="宋体" w:eastAsia="宋体" w:cs="宋体"/>
          <w:sz w:val="28"/>
        </w:rPr>
      </w:pPr>
      <w:r>
        <w:rPr>
          <w:rFonts w:hint="eastAsia" w:ascii="宋体" w:hAnsi="宋体" w:eastAsia="宋体" w:cs="宋体"/>
          <w:sz w:val="28"/>
          <w:lang w:val="en-US" w:eastAsia="zh-CN"/>
        </w:rPr>
        <w:t>长沙汇富中心充电站项目</w:t>
      </w:r>
      <w:r>
        <w:rPr>
          <w:rFonts w:hint="eastAsia" w:ascii="宋体" w:hAnsi="宋体" w:eastAsia="宋体" w:cs="宋体"/>
          <w:sz w:val="28"/>
        </w:rPr>
        <w:t>于202</w:t>
      </w:r>
      <w:r>
        <w:rPr>
          <w:rFonts w:hint="eastAsia" w:ascii="宋体" w:hAnsi="宋体" w:eastAsia="宋体" w:cs="宋体"/>
          <w:sz w:val="28"/>
          <w:lang w:val="en-US" w:eastAsia="zh-CN"/>
        </w:rPr>
        <w:t>4</w:t>
      </w:r>
      <w:r>
        <w:rPr>
          <w:rFonts w:hint="eastAsia" w:ascii="宋体" w:hAnsi="宋体" w:eastAsia="宋体" w:cs="宋体"/>
          <w:sz w:val="28"/>
        </w:rPr>
        <w:t>年</w:t>
      </w:r>
      <w:r>
        <w:rPr>
          <w:rFonts w:hint="eastAsia" w:ascii="宋体" w:hAnsi="宋体" w:eastAsia="宋体" w:cs="宋体"/>
          <w:sz w:val="28"/>
          <w:lang w:val="en-US" w:eastAsia="zh-CN"/>
        </w:rPr>
        <w:t xml:space="preserve">  </w:t>
      </w:r>
      <w:r>
        <w:rPr>
          <w:rFonts w:hint="eastAsia" w:ascii="宋体" w:hAnsi="宋体" w:eastAsia="宋体" w:cs="宋体"/>
          <w:sz w:val="28"/>
        </w:rPr>
        <w:t>月</w:t>
      </w:r>
      <w:r>
        <w:rPr>
          <w:rFonts w:hint="eastAsia" w:ascii="宋体" w:hAnsi="宋体" w:eastAsia="宋体" w:cs="宋体"/>
          <w:sz w:val="28"/>
          <w:lang w:val="en-US" w:eastAsia="zh-CN"/>
        </w:rPr>
        <w:t xml:space="preserve">  </w:t>
      </w:r>
      <w:r>
        <w:rPr>
          <w:rFonts w:hint="eastAsia" w:ascii="宋体" w:hAnsi="宋体" w:eastAsia="宋体" w:cs="宋体"/>
          <w:sz w:val="28"/>
        </w:rPr>
        <w:t>日</w:t>
      </w:r>
      <w:r>
        <w:rPr>
          <w:rFonts w:hint="eastAsia" w:ascii="宋体" w:hAnsi="宋体" w:eastAsia="宋体" w:cs="宋体"/>
          <w:sz w:val="28"/>
          <w:lang w:eastAsia="zh-CN"/>
        </w:rPr>
        <w:t>，</w:t>
      </w:r>
      <w:r>
        <w:rPr>
          <w:rFonts w:hint="eastAsia" w:ascii="宋体" w:hAnsi="宋体" w:eastAsia="宋体" w:cs="宋体"/>
          <w:sz w:val="28"/>
        </w:rPr>
        <w:t>在</w:t>
      </w:r>
      <w:r>
        <w:rPr>
          <w:rFonts w:hint="eastAsia" w:ascii="宋体" w:hAnsi="宋体" w:eastAsia="宋体" w:cs="宋体"/>
          <w:sz w:val="28"/>
          <w:u w:val="single"/>
          <w:lang w:val="en-US" w:eastAsia="zh-CN"/>
        </w:rPr>
        <w:t xml:space="preserve">         </w:t>
      </w:r>
      <w:r>
        <w:rPr>
          <w:rFonts w:hint="eastAsia" w:ascii="宋体" w:hAnsi="宋体" w:eastAsia="宋体" w:cs="宋体"/>
          <w:sz w:val="28"/>
        </w:rPr>
        <w:t>开标</w:t>
      </w:r>
      <w:r>
        <w:rPr>
          <w:rFonts w:hint="eastAsia" w:ascii="宋体" w:hAnsi="宋体" w:eastAsia="宋体" w:cs="宋体"/>
          <w:sz w:val="28"/>
          <w:lang w:eastAsia="zh-CN"/>
        </w:rPr>
        <w:t>，</w:t>
      </w:r>
      <w:r>
        <w:rPr>
          <w:rFonts w:hint="eastAsia" w:ascii="宋体" w:hAnsi="宋体" w:eastAsia="宋体" w:cs="宋体"/>
          <w:sz w:val="28"/>
        </w:rPr>
        <w:t>确定贵单位为中标人。</w:t>
      </w:r>
    </w:p>
    <w:p>
      <w:pPr>
        <w:adjustRightInd w:val="0"/>
        <w:snapToGrid w:val="0"/>
        <w:spacing w:line="480" w:lineRule="auto"/>
        <w:jc w:val="left"/>
        <w:rPr>
          <w:rFonts w:hint="eastAsia" w:ascii="宋体" w:hAnsi="宋体" w:eastAsia="宋体" w:cs="宋体"/>
          <w:b/>
          <w:sz w:val="28"/>
        </w:rPr>
      </w:pPr>
      <w:r>
        <w:rPr>
          <w:rFonts w:hint="eastAsia" w:ascii="宋体" w:hAnsi="宋体" w:eastAsia="宋体" w:cs="宋体"/>
          <w:b/>
          <w:sz w:val="28"/>
        </w:rPr>
        <w:t>中标范围：</w:t>
      </w:r>
    </w:p>
    <w:p>
      <w:pPr>
        <w:adjustRightInd w:val="0"/>
        <w:snapToGrid w:val="0"/>
        <w:spacing w:line="480" w:lineRule="auto"/>
        <w:ind w:firstLine="645"/>
        <w:jc w:val="left"/>
        <w:rPr>
          <w:rFonts w:hint="eastAsia" w:ascii="宋体" w:hAnsi="宋体" w:eastAsia="宋体" w:cs="宋体"/>
          <w:kern w:val="0"/>
          <w:sz w:val="28"/>
          <w:lang w:val="en-US"/>
        </w:rPr>
      </w:pPr>
      <w:r>
        <w:rPr>
          <w:rFonts w:hint="eastAsia" w:ascii="宋体" w:hAnsi="宋体" w:eastAsia="宋体" w:cs="宋体"/>
          <w:kern w:val="0"/>
          <w:sz w:val="28"/>
          <w:lang w:val="en-US" w:eastAsia="zh-CN"/>
        </w:rPr>
        <w:t xml:space="preserve"> </w:t>
      </w:r>
      <w:r>
        <w:rPr>
          <w:rFonts w:hint="eastAsia" w:ascii="宋体" w:hAnsi="宋体" w:eastAsia="宋体" w:cs="宋体"/>
          <w:sz w:val="28"/>
          <w:lang w:val="en-US" w:eastAsia="zh-CN"/>
        </w:rPr>
        <w:t>XXXXXXXX...</w:t>
      </w:r>
    </w:p>
    <w:p>
      <w:pPr>
        <w:adjustRightInd w:val="0"/>
        <w:snapToGrid w:val="0"/>
        <w:spacing w:line="480" w:lineRule="auto"/>
        <w:jc w:val="left"/>
        <w:rPr>
          <w:rFonts w:hint="eastAsia" w:ascii="宋体" w:hAnsi="宋体" w:eastAsia="宋体" w:cs="宋体"/>
          <w:kern w:val="0"/>
          <w:sz w:val="28"/>
        </w:rPr>
      </w:pPr>
      <w:r>
        <w:rPr>
          <w:rFonts w:hint="eastAsia" w:ascii="宋体" w:hAnsi="宋体" w:eastAsia="宋体" w:cs="宋体"/>
          <w:b/>
          <w:sz w:val="28"/>
        </w:rPr>
        <w:t>中标价：</w:t>
      </w:r>
      <w:r>
        <w:rPr>
          <w:rFonts w:hint="eastAsia" w:ascii="宋体" w:hAnsi="宋体" w:eastAsia="宋体" w:cs="宋体"/>
          <w:kern w:val="0"/>
          <w:sz w:val="28"/>
        </w:rPr>
        <w:t>（大写）：</w:t>
      </w:r>
      <w:r>
        <w:rPr>
          <w:rFonts w:hint="eastAsia" w:ascii="宋体" w:hAnsi="宋体" w:eastAsia="宋体" w:cs="宋体"/>
          <w:kern w:val="0"/>
          <w:sz w:val="28"/>
          <w:u w:val="single"/>
          <w:lang w:val="en-US" w:eastAsia="zh-CN"/>
        </w:rPr>
        <w:t xml:space="preserve">           </w:t>
      </w:r>
      <w:r>
        <w:rPr>
          <w:rFonts w:hint="eastAsia" w:ascii="宋体" w:hAnsi="宋体" w:eastAsia="宋体" w:cs="宋体"/>
          <w:kern w:val="0"/>
          <w:sz w:val="28"/>
          <w:lang w:val="en-US" w:eastAsia="zh-CN"/>
        </w:rPr>
        <w:t xml:space="preserve"> </w:t>
      </w:r>
      <w:r>
        <w:rPr>
          <w:rFonts w:hint="eastAsia" w:ascii="宋体" w:hAnsi="宋体" w:eastAsia="宋体" w:cs="宋体"/>
          <w:kern w:val="0"/>
          <w:sz w:val="28"/>
        </w:rPr>
        <w:t>；</w:t>
      </w:r>
    </w:p>
    <w:p>
      <w:pPr>
        <w:adjustRightInd w:val="0"/>
        <w:snapToGrid w:val="0"/>
        <w:spacing w:line="480" w:lineRule="auto"/>
        <w:jc w:val="left"/>
        <w:rPr>
          <w:rFonts w:hint="eastAsia" w:ascii="宋体" w:hAnsi="宋体" w:eastAsia="宋体" w:cs="宋体"/>
        </w:rPr>
      </w:pPr>
      <w:r>
        <w:rPr>
          <w:rFonts w:hint="eastAsia" w:ascii="宋体" w:hAnsi="宋体" w:eastAsia="宋体" w:cs="宋体"/>
          <w:kern w:val="0"/>
          <w:sz w:val="28"/>
        </w:rPr>
        <w:t>　　　　（小写）：</w:t>
      </w:r>
      <w:r>
        <w:rPr>
          <w:rFonts w:hint="eastAsia" w:ascii="宋体" w:hAnsi="宋体" w:eastAsia="宋体" w:cs="宋体"/>
          <w:kern w:val="0"/>
          <w:sz w:val="28"/>
          <w:u w:val="single"/>
          <w:lang w:val="en-US" w:eastAsia="zh-CN"/>
        </w:rPr>
        <w:t xml:space="preserve">           </w:t>
      </w:r>
      <w:r>
        <w:rPr>
          <w:rFonts w:hint="eastAsia" w:ascii="宋体" w:hAnsi="宋体" w:eastAsia="宋体" w:cs="宋体"/>
          <w:sz w:val="32"/>
          <w:szCs w:val="32"/>
        </w:rPr>
        <w:t>元。</w:t>
      </w:r>
    </w:p>
    <w:p>
      <w:pPr>
        <w:adjustRightInd w:val="0"/>
        <w:snapToGrid w:val="0"/>
        <w:spacing w:line="480" w:lineRule="auto"/>
        <w:jc w:val="left"/>
        <w:rPr>
          <w:rFonts w:hint="eastAsia" w:ascii="宋体" w:hAnsi="宋体" w:eastAsia="宋体" w:cs="宋体"/>
          <w:sz w:val="28"/>
        </w:rPr>
      </w:pPr>
      <w:r>
        <w:rPr>
          <w:rFonts w:hint="eastAsia" w:ascii="宋体" w:hAnsi="宋体" w:eastAsia="宋体" w:cs="宋体"/>
          <w:b/>
          <w:sz w:val="28"/>
        </w:rPr>
        <w:t>工期：</w:t>
      </w:r>
      <w:r>
        <w:rPr>
          <w:rFonts w:hint="eastAsia" w:ascii="宋体" w:hAnsi="宋体" w:eastAsia="宋体" w:cs="宋体"/>
          <w:kern w:val="0"/>
          <w:sz w:val="28"/>
          <w:lang w:val="en-US" w:eastAsia="zh-CN"/>
        </w:rPr>
        <w:t xml:space="preserve"> </w:t>
      </w:r>
      <w:r>
        <w:rPr>
          <w:rFonts w:hint="eastAsia" w:ascii="宋体" w:hAnsi="宋体" w:eastAsia="宋体" w:cs="宋体"/>
          <w:kern w:val="0"/>
          <w:sz w:val="28"/>
          <w:highlight w:val="none"/>
          <w:lang w:val="en-US" w:eastAsia="zh-CN"/>
        </w:rPr>
        <w:t xml:space="preserve">    </w:t>
      </w:r>
      <w:r>
        <w:rPr>
          <w:rFonts w:hint="eastAsia" w:ascii="宋体" w:hAnsi="宋体" w:eastAsia="宋体" w:cs="宋体"/>
          <w:kern w:val="0"/>
          <w:sz w:val="28"/>
        </w:rPr>
        <w:t>天（日历天）。</w:t>
      </w:r>
    </w:p>
    <w:p>
      <w:pPr>
        <w:adjustRightInd w:val="0"/>
        <w:snapToGrid w:val="0"/>
        <w:spacing w:line="480" w:lineRule="auto"/>
        <w:ind w:firstLine="560" w:firstLineChars="200"/>
        <w:jc w:val="left"/>
        <w:rPr>
          <w:rFonts w:hint="eastAsia" w:ascii="宋体" w:hAnsi="宋体" w:eastAsia="宋体" w:cs="宋体"/>
          <w:snapToGrid w:val="0"/>
          <w:kern w:val="0"/>
          <w:sz w:val="28"/>
          <w:szCs w:val="28"/>
        </w:rPr>
      </w:pPr>
      <w:r>
        <w:rPr>
          <w:rFonts w:hint="eastAsia" w:ascii="宋体" w:hAnsi="宋体" w:eastAsia="宋体" w:cs="宋体"/>
          <w:snapToGrid w:val="0"/>
          <w:kern w:val="0"/>
          <w:sz w:val="28"/>
          <w:szCs w:val="28"/>
        </w:rPr>
        <w:t>请贵单位在收到本通知书原件后</w:t>
      </w:r>
      <w:r>
        <w:rPr>
          <w:rFonts w:hint="eastAsia" w:ascii="宋体" w:hAnsi="宋体" w:eastAsia="宋体" w:cs="宋体"/>
          <w:snapToGrid w:val="0"/>
          <w:kern w:val="0"/>
          <w:sz w:val="28"/>
          <w:szCs w:val="28"/>
          <w:lang w:val="en-US" w:eastAsia="zh-CN"/>
        </w:rPr>
        <w:t>3</w:t>
      </w:r>
      <w:r>
        <w:rPr>
          <w:rFonts w:hint="eastAsia" w:ascii="宋体" w:hAnsi="宋体" w:eastAsia="宋体" w:cs="宋体"/>
          <w:snapToGrid w:val="0"/>
          <w:kern w:val="0"/>
          <w:sz w:val="28"/>
          <w:szCs w:val="28"/>
        </w:rPr>
        <w:t>天内，与我司联系办理合同签订等有关事项。</w:t>
      </w:r>
    </w:p>
    <w:p>
      <w:pPr>
        <w:adjustRightInd w:val="0"/>
        <w:snapToGrid w:val="0"/>
        <w:spacing w:line="480" w:lineRule="auto"/>
        <w:ind w:firstLine="560" w:firstLineChars="200"/>
        <w:jc w:val="left"/>
        <w:rPr>
          <w:rFonts w:hint="eastAsia" w:ascii="宋体" w:hAnsi="宋体" w:eastAsia="宋体" w:cs="宋体"/>
          <w:snapToGrid w:val="0"/>
          <w:sz w:val="28"/>
          <w:szCs w:val="28"/>
        </w:rPr>
      </w:pPr>
      <w:r>
        <w:rPr>
          <w:rFonts w:hint="eastAsia" w:ascii="宋体" w:hAnsi="宋体" w:eastAsia="宋体" w:cs="宋体"/>
          <w:snapToGrid w:val="0"/>
          <w:sz w:val="28"/>
          <w:szCs w:val="28"/>
        </w:rPr>
        <w:t>特此通知。</w:t>
      </w:r>
    </w:p>
    <w:p>
      <w:pPr>
        <w:adjustRightInd w:val="0"/>
        <w:snapToGrid w:val="0"/>
        <w:spacing w:line="360" w:lineRule="auto"/>
        <w:ind w:firstLine="562" w:firstLineChars="200"/>
        <w:jc w:val="left"/>
        <w:rPr>
          <w:rFonts w:hint="eastAsia" w:ascii="宋体" w:hAnsi="宋体" w:eastAsia="宋体" w:cs="宋体"/>
          <w:b/>
          <w:kern w:val="0"/>
          <w:sz w:val="28"/>
          <w:lang w:val="en-US" w:eastAsia="zh-CN"/>
        </w:rPr>
      </w:pPr>
      <w:r>
        <w:rPr>
          <w:rFonts w:hint="eastAsia" w:ascii="宋体" w:hAnsi="宋体" w:eastAsia="宋体" w:cs="宋体"/>
          <w:b/>
          <w:kern w:val="0"/>
          <w:sz w:val="28"/>
        </w:rPr>
        <w:t xml:space="preserve">                  </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 xml:space="preserve">  招标人：</w:t>
      </w:r>
      <w:r>
        <w:rPr>
          <w:rFonts w:hint="eastAsia" w:ascii="宋体" w:hAnsi="宋体" w:eastAsia="宋体" w:cs="宋体"/>
          <w:b/>
          <w:kern w:val="0"/>
          <w:sz w:val="28"/>
          <w:lang w:val="en-US" w:eastAsia="zh-CN"/>
        </w:rPr>
        <w:t>湖南中昌新能源有限公司</w:t>
      </w:r>
    </w:p>
    <w:p>
      <w:pPr>
        <w:adjustRightInd w:val="0"/>
        <w:snapToGrid w:val="0"/>
        <w:spacing w:line="360" w:lineRule="auto"/>
        <w:ind w:firstLine="5029" w:firstLineChars="1789"/>
        <w:rPr>
          <w:rFonts w:hint="eastAsia" w:ascii="宋体" w:hAnsi="宋体" w:eastAsia="宋体" w:cs="宋体"/>
          <w:lang w:val="en-US" w:eastAsia="zh-CN"/>
        </w:rPr>
      </w:pPr>
      <w:r>
        <w:rPr>
          <w:rFonts w:hint="eastAsia" w:ascii="宋体" w:hAnsi="宋体" w:eastAsia="宋体" w:cs="宋体"/>
          <w:b/>
          <w:kern w:val="0"/>
          <w:sz w:val="28"/>
        </w:rPr>
        <w:t>202</w:t>
      </w:r>
      <w:r>
        <w:rPr>
          <w:rFonts w:hint="eastAsia" w:ascii="宋体" w:hAnsi="宋体" w:eastAsia="宋体" w:cs="宋体"/>
          <w:b/>
          <w:kern w:val="0"/>
          <w:sz w:val="28"/>
          <w:lang w:val="en-US" w:eastAsia="zh-CN"/>
        </w:rPr>
        <w:t>4</w:t>
      </w:r>
      <w:r>
        <w:rPr>
          <w:rFonts w:hint="eastAsia" w:ascii="宋体" w:hAnsi="宋体" w:eastAsia="宋体" w:cs="宋体"/>
          <w:b/>
          <w:kern w:val="0"/>
          <w:sz w:val="28"/>
        </w:rPr>
        <w:t>年</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月</w:t>
      </w:r>
      <w:r>
        <w:rPr>
          <w:rFonts w:hint="eastAsia" w:ascii="宋体" w:hAnsi="宋体" w:eastAsia="宋体" w:cs="宋体"/>
          <w:b/>
          <w:kern w:val="0"/>
          <w:sz w:val="28"/>
          <w:lang w:val="en-US" w:eastAsia="zh-CN"/>
        </w:rPr>
        <w:t xml:space="preserve">   </w:t>
      </w:r>
      <w:r>
        <w:rPr>
          <w:rFonts w:hint="eastAsia" w:ascii="宋体" w:hAnsi="宋体" w:eastAsia="宋体" w:cs="宋体"/>
          <w:b/>
          <w:kern w:val="0"/>
          <w:sz w:val="28"/>
        </w:rPr>
        <w:t>日</w:t>
      </w:r>
    </w:p>
    <w:p>
      <w:pPr>
        <w:pStyle w:val="20"/>
        <w:ind w:firstLine="420"/>
        <w:rPr>
          <w:rFonts w:hint="eastAsia" w:ascii="宋体" w:hAnsi="宋体" w:eastAsia="宋体" w:cs="宋体"/>
          <w:szCs w:val="21"/>
        </w:rPr>
      </w:pPr>
    </w:p>
    <w:p>
      <w:pPr>
        <w:rPr>
          <w:rFonts w:hint="eastAsia" w:ascii="宋体" w:hAnsi="宋体" w:eastAsia="宋体" w:cs="宋体"/>
        </w:rPr>
      </w:pPr>
    </w:p>
    <w:sectPr>
      <w:headerReference r:id="rId22" w:type="first"/>
      <w:footerReference r:id="rId25" w:type="first"/>
      <w:headerReference r:id="rId20" w:type="default"/>
      <w:footerReference r:id="rId23" w:type="default"/>
      <w:headerReference r:id="rId21" w:type="even"/>
      <w:footerReference r:id="rId2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35201"/>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2635201"/>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- 46 -</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9Sh8wBAACd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GtyEt5RYbnDi5+/fzj9+nX9+&#10;JctiVaYW9R4qzHzymBuHOzdg+uwHdCblQxtM+qImgnFs8OnSYDlEItKjclWWBYYExuYL4rPn5z5A&#10;fC+dIcmoacAJ5sby4yPEMXVOSdWsu1da5ylq+5cDMZOHJe4jx2TFYTdMgnauOaGeHodfU4u7Tol+&#10;sNjbtCezEWZjNxsHH9S+Q2rLzAv87SEiicwtVRhhp8I4ta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YD1KHzAEAAJ0DAAAOAAAAAAAAAAEAIAAAAB4BAABkcnMvZTJv&#10;RG9jLnhtbFBLBQYAAAAABgAGAFkBAABc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- 46 -</w:t>
                    </w:r>
                    <w:r>
                      <w:fldChar w:fldCharType="end"/>
                    </w:r>
                  </w:p>
                </w:txbxContent>
              </v:textbox>
            </v:shape>
          </w:pict>
        </mc:Fallback>
      </mc:AlternateContent>
    </w:r>
    <w:r>
      <w:rPr>
        <w:rFonts w:ascii="宋体" w:hAnsi="宋体"/>
      </w:rPr>
      <w:t xml:space="preserve">                        </w: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274945" cy="217805"/>
              <wp:effectExtent l="0" t="0" r="0" b="0"/>
              <wp:wrapNone/>
              <wp:docPr id="10" name="文本框 1029"/>
              <wp:cNvGraphicFramePr/>
              <a:graphic xmlns:a="http://schemas.openxmlformats.org/drawingml/2006/main">
                <a:graphicData uri="http://schemas.microsoft.com/office/word/2010/wordprocessingShape">
                  <wps:wsp>
                    <wps:cNvSpPr txBox="1"/>
                    <wps:spPr>
                      <a:xfrm>
                        <a:off x="0" y="0"/>
                        <a:ext cx="5274945" cy="217805"/>
                      </a:xfrm>
                      <a:prstGeom prst="rect">
                        <a:avLst/>
                      </a:prstGeom>
                      <a:noFill/>
                      <a:ln w="15875">
                        <a:noFill/>
                      </a:ln>
                    </wps:spPr>
                    <wps:txbx>
                      <w:txbxContent>
                        <w:p>
                          <w:pPr>
                            <w:pStyle w:val="9"/>
                            <w:pBdr>
                              <w:top w:val="thinThickSmallGap" w:color="622423" w:sz="24" w:space="1"/>
                            </w:pBdr>
                            <w:tabs>
                              <w:tab w:val="clear" w:pos="4153"/>
                            </w:tabs>
                            <w:rPr>
                              <w:rFonts w:ascii="Cambria" w:hAnsi="Cambria"/>
                            </w:rPr>
                          </w:pP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7.15pt;width:415.35pt;mso-position-horizontal:left;mso-position-horizontal-relative:margin;mso-wrap-style:none;z-index:251660288;mso-width-relative:page;mso-height-relative:page;" filled="f" stroked="f" coordsize="21600,21600" o:gfxdata="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Jwoc1QAAAAQBAAAPAAAAAAAAAAEA&#10;IAAAACIAAABkcnMvZG93bnJldi54bWxQSwECFAAUAAAACACHTuJA2ow9QNkBAACmAwAADgAAAAAA&#10;AAABACAAAAAkAQAAZHJzL2Uyb0RvYy54bWxQSwUGAAAAAAYABgBZAQAAbwUAAAAA&#10;">
              <v:fill on="f" focussize="0,0"/>
              <v:stroke on="f" weight="1.25pt"/>
              <v:imagedata o:title=""/>
              <o:lock v:ext="edit" aspectratio="f"/>
              <v:textbox inset="0mm,0mm,0mm,0mm" style="mso-fit-shape-to-text:t;">
                <w:txbxContent>
                  <w:p>
                    <w:pPr>
                      <w:pStyle w:val="9"/>
                      <w:pBdr>
                        <w:top w:val="thinThickSmallGap" w:color="622423" w:sz="24" w:space="1"/>
                      </w:pBdr>
                      <w:tabs>
                        <w:tab w:val="clear" w:pos="4153"/>
                      </w:tabs>
                      <w:rPr>
                        <w:rFonts w:ascii="Cambria" w:hAnsi="Cambria"/>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- 33 -</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dwXMsBAACd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ey&#10;rFY3uUV9gBoz7wPmpuGtHzB99gM6s/JBRZu/qIlgHBt8vjZYDomI/Gi9Wq8rDAmMzRfEZw/PQ4T0&#10;TnpLstHQiBMsjeWnD5DG1DklV3P+ThtTpmjcXw7EzB6WuY8cs5WG/TAJ2vv2jHp6HH5DHe46Jea9&#10;w97mPZmNOBv72TiGqA8dUlsWXhDeHBOSKNxyhRF2KoxTK+qmDctr8fhesh7+q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4HcFzLAQAAnQ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- 33 -</w:t>
                    </w:r>
                    <w:r>
                      <w:fldChar w:fldCharType="end"/>
                    </w:r>
                  </w:p>
                </w:txbxContent>
              </v:textbox>
            </v:shape>
          </w:pict>
        </mc:Fallback>
      </mc:AlternateContent>
    </w:r>
    <w:r>
      <w:rPr>
        <w:rFonts w:ascii="宋体" w:hAnsi="宋体"/>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QRtGKwAEAAJ4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                                                   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- 47 -</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TTNarLAQAAnQ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- 47 -</w:t>
                    </w:r>
                    <w:r>
                      <w:fldChar w:fldCharType="end"/>
                    </w:r>
                  </w:p>
                </w:txbxContent>
              </v:textbox>
            </v:shape>
          </w:pict>
        </mc:Fallback>
      </mc:AlternateContent>
    </w:r>
    <w:r>
      <w:rPr>
        <w:rFonts w:ascii="宋体" w:hAnsi="宋体"/>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35E02"/>
    <w:multiLevelType w:val="singleLevel"/>
    <w:tmpl w:val="CA835E02"/>
    <w:lvl w:ilvl="0" w:tentative="0">
      <w:start w:val="1"/>
      <w:numFmt w:val="chineseCounting"/>
      <w:suff w:val="nothing"/>
      <w:lvlText w:val="%1、"/>
      <w:lvlJc w:val="left"/>
      <w:pPr>
        <w:ind w:left="640" w:firstLine="0"/>
      </w:pPr>
      <w:rPr>
        <w:rFonts w:hint="eastAsia" w:ascii="宋体" w:hAnsi="宋体" w:eastAsia="宋体" w:cs="宋体"/>
        <w:b/>
        <w:bCs/>
      </w:rPr>
    </w:lvl>
  </w:abstractNum>
  <w:abstractNum w:abstractNumId="1">
    <w:nsid w:val="E2795F53"/>
    <w:multiLevelType w:val="singleLevel"/>
    <w:tmpl w:val="E2795F53"/>
    <w:lvl w:ilvl="0" w:tentative="0">
      <w:start w:val="1"/>
      <w:numFmt w:val="chineseCounting"/>
      <w:suff w:val="nothing"/>
      <w:lvlText w:val="%1、"/>
      <w:lvlJc w:val="left"/>
      <w:rPr>
        <w:rFonts w:hint="eastAsia"/>
      </w:rPr>
    </w:lvl>
  </w:abstractNum>
  <w:abstractNum w:abstractNumId="2">
    <w:nsid w:val="FC538EED"/>
    <w:multiLevelType w:val="singleLevel"/>
    <w:tmpl w:val="FC538EED"/>
    <w:lvl w:ilvl="0" w:tentative="0">
      <w:start w:val="3"/>
      <w:numFmt w:val="chineseCounting"/>
      <w:suff w:val="space"/>
      <w:lvlText w:val="第%1章"/>
      <w:lvlJc w:val="left"/>
      <w:rPr>
        <w:rFonts w:hint="eastAsia"/>
      </w:rPr>
    </w:lvl>
  </w:abstractNum>
  <w:abstractNum w:abstractNumId="3">
    <w:nsid w:val="0E62739F"/>
    <w:multiLevelType w:val="singleLevel"/>
    <w:tmpl w:val="0E62739F"/>
    <w:lvl w:ilvl="0" w:tentative="0">
      <w:start w:val="3"/>
      <w:numFmt w:val="chineseCounting"/>
      <w:suff w:val="nothing"/>
      <w:lvlText w:val="（%1）"/>
      <w:lvlJc w:val="left"/>
      <w:rPr>
        <w:rFonts w:hint="eastAsia" w:cs="Times New Roman"/>
      </w:rPr>
    </w:lvl>
  </w:abstractNum>
  <w:abstractNum w:abstractNumId="4">
    <w:nsid w:val="1367BD70"/>
    <w:multiLevelType w:val="singleLevel"/>
    <w:tmpl w:val="1367BD70"/>
    <w:lvl w:ilvl="0" w:tentative="0">
      <w:start w:val="2"/>
      <w:numFmt w:val="chineseCounting"/>
      <w:suff w:val="nothing"/>
      <w:lvlText w:val="（%1）"/>
      <w:lvlJc w:val="left"/>
      <w:rPr>
        <w:rFonts w:hint="eastAsia"/>
      </w:rPr>
    </w:lvl>
  </w:abstractNum>
  <w:abstractNum w:abstractNumId="5">
    <w:nsid w:val="77566F35"/>
    <w:multiLevelType w:val="singleLevel"/>
    <w:tmpl w:val="77566F35"/>
    <w:lvl w:ilvl="0" w:tentative="0">
      <w:start w:val="1"/>
      <w:numFmt w:val="chineseCounting"/>
      <w:suff w:val="space"/>
      <w:lvlText w:val="第%1章"/>
      <w:lvlJc w:val="left"/>
      <w:rPr>
        <w:rFonts w:hint="eastAsi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DAyZTg3ZWU0Y2MyMjlmNjM4Mjg5MzFjOGZjYTEifQ=="/>
  </w:docVars>
  <w:rsids>
    <w:rsidRoot w:val="004B6930"/>
    <w:rsid w:val="000413AB"/>
    <w:rsid w:val="00067994"/>
    <w:rsid w:val="000B565F"/>
    <w:rsid w:val="0018468B"/>
    <w:rsid w:val="001D4887"/>
    <w:rsid w:val="0022708F"/>
    <w:rsid w:val="0024213C"/>
    <w:rsid w:val="002E5869"/>
    <w:rsid w:val="003568EC"/>
    <w:rsid w:val="00356F88"/>
    <w:rsid w:val="00402C29"/>
    <w:rsid w:val="00413507"/>
    <w:rsid w:val="00440ACA"/>
    <w:rsid w:val="004B6930"/>
    <w:rsid w:val="004D0C15"/>
    <w:rsid w:val="004D6D49"/>
    <w:rsid w:val="004D725B"/>
    <w:rsid w:val="00527C7C"/>
    <w:rsid w:val="00560A72"/>
    <w:rsid w:val="005858E1"/>
    <w:rsid w:val="005B7D69"/>
    <w:rsid w:val="00611318"/>
    <w:rsid w:val="006117A7"/>
    <w:rsid w:val="006B3F53"/>
    <w:rsid w:val="006E14B7"/>
    <w:rsid w:val="00724BE3"/>
    <w:rsid w:val="007B5C81"/>
    <w:rsid w:val="007F627E"/>
    <w:rsid w:val="0080429F"/>
    <w:rsid w:val="00880791"/>
    <w:rsid w:val="009259E0"/>
    <w:rsid w:val="00956DB7"/>
    <w:rsid w:val="00A5793F"/>
    <w:rsid w:val="00A72FCC"/>
    <w:rsid w:val="00AD665C"/>
    <w:rsid w:val="00AD7D31"/>
    <w:rsid w:val="00B02E7C"/>
    <w:rsid w:val="00B1026A"/>
    <w:rsid w:val="00B14765"/>
    <w:rsid w:val="00B828E5"/>
    <w:rsid w:val="00C226C5"/>
    <w:rsid w:val="00CC6F64"/>
    <w:rsid w:val="00D04BC5"/>
    <w:rsid w:val="00E92E89"/>
    <w:rsid w:val="00F03EE0"/>
    <w:rsid w:val="02660D20"/>
    <w:rsid w:val="02952794"/>
    <w:rsid w:val="03165C22"/>
    <w:rsid w:val="0420074A"/>
    <w:rsid w:val="04A34D32"/>
    <w:rsid w:val="05EC3240"/>
    <w:rsid w:val="063B6093"/>
    <w:rsid w:val="09DD7023"/>
    <w:rsid w:val="0A0337EF"/>
    <w:rsid w:val="0A5C7FB4"/>
    <w:rsid w:val="0A7D43D5"/>
    <w:rsid w:val="0C8D171B"/>
    <w:rsid w:val="0EDD5004"/>
    <w:rsid w:val="0F700388"/>
    <w:rsid w:val="101417FC"/>
    <w:rsid w:val="125D12B3"/>
    <w:rsid w:val="1391133F"/>
    <w:rsid w:val="13B93642"/>
    <w:rsid w:val="161950B9"/>
    <w:rsid w:val="1728022D"/>
    <w:rsid w:val="17CE1669"/>
    <w:rsid w:val="1AE30DA3"/>
    <w:rsid w:val="1BD07E3B"/>
    <w:rsid w:val="1C361BC2"/>
    <w:rsid w:val="22190734"/>
    <w:rsid w:val="24264207"/>
    <w:rsid w:val="24435D55"/>
    <w:rsid w:val="24B3701E"/>
    <w:rsid w:val="271A7871"/>
    <w:rsid w:val="283D6F1E"/>
    <w:rsid w:val="289A0D61"/>
    <w:rsid w:val="2F510E78"/>
    <w:rsid w:val="307E5C85"/>
    <w:rsid w:val="321145FE"/>
    <w:rsid w:val="32693740"/>
    <w:rsid w:val="34AA2E21"/>
    <w:rsid w:val="3636584B"/>
    <w:rsid w:val="39EA0C74"/>
    <w:rsid w:val="3B026147"/>
    <w:rsid w:val="3BC31BC0"/>
    <w:rsid w:val="3EB30F8A"/>
    <w:rsid w:val="40F21198"/>
    <w:rsid w:val="41352D0D"/>
    <w:rsid w:val="41F1375F"/>
    <w:rsid w:val="43694FBA"/>
    <w:rsid w:val="44EB6CFC"/>
    <w:rsid w:val="458729A7"/>
    <w:rsid w:val="462C6EAC"/>
    <w:rsid w:val="46911422"/>
    <w:rsid w:val="47D1576E"/>
    <w:rsid w:val="47D546C3"/>
    <w:rsid w:val="49D96253"/>
    <w:rsid w:val="4B357E39"/>
    <w:rsid w:val="4B5F763D"/>
    <w:rsid w:val="4BCD18DC"/>
    <w:rsid w:val="4C6F7F0D"/>
    <w:rsid w:val="4F8D4C8B"/>
    <w:rsid w:val="50A368D7"/>
    <w:rsid w:val="50CD363C"/>
    <w:rsid w:val="52725706"/>
    <w:rsid w:val="58A0771E"/>
    <w:rsid w:val="5CB22661"/>
    <w:rsid w:val="5D85777A"/>
    <w:rsid w:val="5DE869DB"/>
    <w:rsid w:val="6023664C"/>
    <w:rsid w:val="66EF11B4"/>
    <w:rsid w:val="670660BD"/>
    <w:rsid w:val="69921528"/>
    <w:rsid w:val="6D216E55"/>
    <w:rsid w:val="724E4047"/>
    <w:rsid w:val="745B277D"/>
    <w:rsid w:val="75AE0158"/>
    <w:rsid w:val="7708079A"/>
    <w:rsid w:val="778222D6"/>
    <w:rsid w:val="7B37662C"/>
    <w:rsid w:val="C5F6A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3"/>
    <w:autoRedefine/>
    <w:qFormat/>
    <w:uiPriority w:val="0"/>
    <w:pPr>
      <w:keepNext/>
      <w:jc w:val="center"/>
      <w:outlineLvl w:val="0"/>
    </w:pPr>
    <w:rPr>
      <w:rFonts w:ascii="Times New Roman" w:hAnsi="Times New Roman" w:eastAsia="宋体" w:cs="Times New Roman"/>
      <w:b/>
      <w:bCs/>
      <w:sz w:val="24"/>
      <w:szCs w:val="24"/>
    </w:rPr>
  </w:style>
  <w:style w:type="paragraph" w:styleId="5">
    <w:name w:val="heading 2"/>
    <w:basedOn w:val="1"/>
    <w:next w:val="1"/>
    <w:link w:val="24"/>
    <w:autoRedefine/>
    <w:unhideWhenUsed/>
    <w:qFormat/>
    <w:uiPriority w:val="0"/>
    <w:pPr>
      <w:keepNext/>
      <w:keepLines/>
      <w:spacing w:before="260" w:after="260" w:line="412" w:lineRule="auto"/>
      <w:outlineLvl w:val="1"/>
    </w:pPr>
    <w:rPr>
      <w:rFonts w:ascii="Arial" w:hAnsi="Arial" w:eastAsia="黑体" w:cs="Times New Roman"/>
      <w:b/>
      <w:bCs/>
      <w:sz w:val="32"/>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next w:val="1"/>
    <w:link w:val="26"/>
    <w:autoRedefine/>
    <w:unhideWhenUsed/>
    <w:qFormat/>
    <w:uiPriority w:val="0"/>
    <w:pPr>
      <w:spacing w:after="120"/>
    </w:pPr>
    <w:rPr>
      <w:rFonts w:ascii="Times New Roman" w:hAnsi="Times New Roman" w:eastAsia="宋体" w:cs="Times New Roman"/>
      <w:szCs w:val="24"/>
    </w:rPr>
  </w:style>
  <w:style w:type="paragraph" w:styleId="6">
    <w:name w:val="Body Text Indent"/>
    <w:basedOn w:val="1"/>
    <w:link w:val="27"/>
    <w:autoRedefine/>
    <w:unhideWhenUsed/>
    <w:qFormat/>
    <w:uiPriority w:val="0"/>
    <w:pPr>
      <w:ind w:left="359" w:leftChars="171" w:firstLine="524" w:firstLineChars="187"/>
    </w:pPr>
    <w:rPr>
      <w:rFonts w:ascii="Times New Roman" w:hAnsi="Times New Roman" w:eastAsia="宋体" w:cs="Times New Roman"/>
      <w:sz w:val="28"/>
      <w:szCs w:val="24"/>
    </w:rPr>
  </w:style>
  <w:style w:type="paragraph" w:styleId="7">
    <w:name w:val="Plain Text"/>
    <w:basedOn w:val="1"/>
    <w:link w:val="29"/>
    <w:autoRedefine/>
    <w:unhideWhenUsed/>
    <w:qFormat/>
    <w:uiPriority w:val="0"/>
    <w:rPr>
      <w:rFonts w:ascii="宋体" w:hAnsi="Courier New" w:eastAsia="宋体" w:cs="Times New Roman"/>
      <w:szCs w:val="21"/>
    </w:rPr>
  </w:style>
  <w:style w:type="paragraph" w:styleId="8">
    <w:name w:val="Body Text Indent 2"/>
    <w:basedOn w:val="1"/>
    <w:autoRedefine/>
    <w:qFormat/>
    <w:uiPriority w:val="99"/>
    <w:pPr>
      <w:spacing w:after="120" w:line="480" w:lineRule="auto"/>
      <w:ind w:left="420" w:leftChars="200"/>
    </w:pPr>
    <w:rPr>
      <w:kern w:val="0"/>
      <w:sz w:val="20"/>
    </w:rPr>
  </w:style>
  <w:style w:type="paragraph" w:styleId="9">
    <w:name w:val="footer"/>
    <w:basedOn w:val="1"/>
    <w:link w:val="22"/>
    <w:autoRedefine/>
    <w:unhideWhenUsed/>
    <w:qFormat/>
    <w:uiPriority w:val="99"/>
    <w:pPr>
      <w:tabs>
        <w:tab w:val="center" w:pos="4153"/>
        <w:tab w:val="right" w:pos="8306"/>
      </w:tabs>
      <w:snapToGrid w:val="0"/>
      <w:jc w:val="left"/>
    </w:pPr>
    <w:rPr>
      <w:sz w:val="18"/>
      <w:szCs w:val="18"/>
    </w:rPr>
  </w:style>
  <w:style w:type="paragraph" w:styleId="10">
    <w:name w:val="header"/>
    <w:basedOn w:val="1"/>
    <w:link w:val="2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rPr>
      <w:rFonts w:ascii="Times New Roman" w:hAnsi="Times New Roman" w:eastAsia="宋体" w:cs="Times New Roman"/>
      <w:szCs w:val="24"/>
    </w:rPr>
  </w:style>
  <w:style w:type="paragraph" w:styleId="12">
    <w:name w:val="Body Text Indent 3"/>
    <w:basedOn w:val="1"/>
    <w:link w:val="28"/>
    <w:autoRedefine/>
    <w:unhideWhenUsed/>
    <w:qFormat/>
    <w:uiPriority w:val="0"/>
    <w:pPr>
      <w:spacing w:after="120"/>
      <w:ind w:left="420" w:leftChars="200"/>
    </w:pPr>
    <w:rPr>
      <w:rFonts w:ascii="Times New Roman" w:hAnsi="Times New Roman" w:eastAsia="宋体" w:cs="Times New Roman"/>
      <w:sz w:val="16"/>
      <w:szCs w:val="16"/>
    </w:rPr>
  </w:style>
  <w:style w:type="paragraph" w:styleId="13">
    <w:name w:val="Normal (Web)"/>
    <w:basedOn w:val="1"/>
    <w:autoRedefine/>
    <w:unhideWhenUsed/>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4">
    <w:name w:val="Title"/>
    <w:basedOn w:val="1"/>
    <w:next w:val="1"/>
    <w:link w:val="25"/>
    <w:autoRedefine/>
    <w:qFormat/>
    <w:uiPriority w:val="0"/>
    <w:pPr>
      <w:spacing w:before="240" w:after="60"/>
      <w:jc w:val="center"/>
      <w:outlineLvl w:val="0"/>
    </w:pPr>
    <w:rPr>
      <w:rFonts w:eastAsia="宋体" w:asciiTheme="majorHAnsi" w:hAnsiTheme="majorHAnsi" w:cstheme="majorBidi"/>
      <w:b/>
      <w:bCs/>
      <w:sz w:val="32"/>
      <w:szCs w:val="32"/>
    </w:rPr>
  </w:style>
  <w:style w:type="character" w:styleId="17">
    <w:name w:val="page number"/>
    <w:basedOn w:val="16"/>
    <w:autoRedefine/>
    <w:qFormat/>
    <w:uiPriority w:val="0"/>
  </w:style>
  <w:style w:type="character" w:styleId="18">
    <w:name w:val="FollowedHyperlink"/>
    <w:basedOn w:val="16"/>
    <w:autoRedefine/>
    <w:unhideWhenUsed/>
    <w:qFormat/>
    <w:uiPriority w:val="99"/>
    <w:rPr>
      <w:color w:val="800080" w:themeColor="followedHyperlink"/>
      <w:u w:val="single"/>
      <w14:textFill>
        <w14:solidFill>
          <w14:schemeClr w14:val="folHlink"/>
        </w14:solidFill>
      </w14:textFill>
    </w:rPr>
  </w:style>
  <w:style w:type="character" w:styleId="19">
    <w:name w:val="Hyperlink"/>
    <w:basedOn w:val="16"/>
    <w:autoRedefine/>
    <w:unhideWhenUsed/>
    <w:qFormat/>
    <w:uiPriority w:val="99"/>
    <w:rPr>
      <w:color w:val="2D64B3"/>
      <w:u w:val="none"/>
    </w:rPr>
  </w:style>
  <w:style w:type="paragraph" w:customStyle="1" w:styleId="20">
    <w:name w:val="首行缩进"/>
    <w:basedOn w:val="1"/>
    <w:autoRedefine/>
    <w:qFormat/>
    <w:uiPriority w:val="0"/>
    <w:pPr>
      <w:ind w:firstLine="480" w:firstLineChars="200"/>
    </w:pPr>
    <w:rPr>
      <w:rFonts w:ascii="Times New Roman" w:hAnsi="Times New Roman" w:eastAsia="宋体" w:cs="Times New Roman"/>
      <w:kern w:val="0"/>
      <w:szCs w:val="20"/>
      <w:lang w:val="zh-CN"/>
    </w:rPr>
  </w:style>
  <w:style w:type="character" w:customStyle="1" w:styleId="21">
    <w:name w:val="页眉 字符"/>
    <w:basedOn w:val="16"/>
    <w:link w:val="10"/>
    <w:autoRedefine/>
    <w:semiHidden/>
    <w:qFormat/>
    <w:uiPriority w:val="0"/>
    <w:rPr>
      <w:sz w:val="18"/>
      <w:szCs w:val="18"/>
    </w:rPr>
  </w:style>
  <w:style w:type="character" w:customStyle="1" w:styleId="22">
    <w:name w:val="页脚 字符"/>
    <w:basedOn w:val="16"/>
    <w:link w:val="9"/>
    <w:autoRedefine/>
    <w:qFormat/>
    <w:uiPriority w:val="99"/>
    <w:rPr>
      <w:sz w:val="18"/>
      <w:szCs w:val="18"/>
    </w:rPr>
  </w:style>
  <w:style w:type="character" w:customStyle="1" w:styleId="23">
    <w:name w:val="标题 1 字符"/>
    <w:basedOn w:val="16"/>
    <w:link w:val="4"/>
    <w:autoRedefine/>
    <w:qFormat/>
    <w:uiPriority w:val="0"/>
    <w:rPr>
      <w:rFonts w:ascii="Times New Roman" w:hAnsi="Times New Roman" w:eastAsia="宋体" w:cs="Times New Roman"/>
      <w:b/>
      <w:bCs/>
      <w:sz w:val="24"/>
      <w:szCs w:val="24"/>
    </w:rPr>
  </w:style>
  <w:style w:type="character" w:customStyle="1" w:styleId="24">
    <w:name w:val="标题 2 字符"/>
    <w:basedOn w:val="16"/>
    <w:link w:val="5"/>
    <w:autoRedefine/>
    <w:semiHidden/>
    <w:qFormat/>
    <w:uiPriority w:val="0"/>
    <w:rPr>
      <w:rFonts w:ascii="Arial" w:hAnsi="Arial" w:eastAsia="黑体" w:cs="Times New Roman"/>
      <w:b/>
      <w:bCs/>
      <w:sz w:val="32"/>
      <w:szCs w:val="32"/>
    </w:rPr>
  </w:style>
  <w:style w:type="character" w:customStyle="1" w:styleId="25">
    <w:name w:val="标题 字符"/>
    <w:basedOn w:val="16"/>
    <w:link w:val="14"/>
    <w:autoRedefine/>
    <w:qFormat/>
    <w:uiPriority w:val="0"/>
    <w:rPr>
      <w:rFonts w:eastAsia="宋体" w:asciiTheme="majorHAnsi" w:hAnsiTheme="majorHAnsi" w:cstheme="majorBidi"/>
      <w:b/>
      <w:bCs/>
      <w:sz w:val="32"/>
      <w:szCs w:val="32"/>
    </w:rPr>
  </w:style>
  <w:style w:type="character" w:customStyle="1" w:styleId="26">
    <w:name w:val="正文文本 字符"/>
    <w:basedOn w:val="16"/>
    <w:link w:val="3"/>
    <w:autoRedefine/>
    <w:qFormat/>
    <w:uiPriority w:val="0"/>
    <w:rPr>
      <w:rFonts w:ascii="Times New Roman" w:hAnsi="Times New Roman" w:eastAsia="宋体" w:cs="Times New Roman"/>
      <w:szCs w:val="24"/>
    </w:rPr>
  </w:style>
  <w:style w:type="character" w:customStyle="1" w:styleId="27">
    <w:name w:val="正文文本缩进 字符"/>
    <w:basedOn w:val="16"/>
    <w:link w:val="6"/>
    <w:autoRedefine/>
    <w:semiHidden/>
    <w:qFormat/>
    <w:uiPriority w:val="0"/>
    <w:rPr>
      <w:rFonts w:ascii="Times New Roman" w:hAnsi="Times New Roman" w:eastAsia="宋体" w:cs="Times New Roman"/>
      <w:sz w:val="28"/>
      <w:szCs w:val="24"/>
    </w:rPr>
  </w:style>
  <w:style w:type="character" w:customStyle="1" w:styleId="28">
    <w:name w:val="正文文本缩进 3 字符"/>
    <w:basedOn w:val="16"/>
    <w:link w:val="12"/>
    <w:autoRedefine/>
    <w:semiHidden/>
    <w:qFormat/>
    <w:uiPriority w:val="0"/>
    <w:rPr>
      <w:rFonts w:ascii="Times New Roman" w:hAnsi="Times New Roman" w:eastAsia="宋体" w:cs="Times New Roman"/>
      <w:sz w:val="16"/>
      <w:szCs w:val="16"/>
    </w:rPr>
  </w:style>
  <w:style w:type="character" w:customStyle="1" w:styleId="29">
    <w:name w:val="纯文本 字符"/>
    <w:basedOn w:val="16"/>
    <w:link w:val="7"/>
    <w:autoRedefine/>
    <w:semiHidden/>
    <w:qFormat/>
    <w:uiPriority w:val="0"/>
    <w:rPr>
      <w:rFonts w:ascii="宋体" w:hAnsi="Courier New" w:eastAsia="宋体" w:cs="Times New Roman"/>
      <w:szCs w:val="21"/>
    </w:rPr>
  </w:style>
  <w:style w:type="paragraph" w:customStyle="1" w:styleId="30">
    <w:name w:val="无间隔1"/>
    <w:autoRedefine/>
    <w:qFormat/>
    <w:uiPriority w:val="0"/>
    <w:pPr>
      <w:adjustRightInd w:val="0"/>
      <w:snapToGrid w:val="0"/>
    </w:pPr>
    <w:rPr>
      <w:rFonts w:ascii="Calibri" w:hAnsi="Calibri" w:eastAsia="宋体" w:cs="Times New Roman"/>
      <w:sz w:val="22"/>
      <w:szCs w:val="22"/>
      <w:lang w:val="en-US" w:eastAsia="zh-CN" w:bidi="ar-SA"/>
    </w:rPr>
  </w:style>
  <w:style w:type="paragraph" w:customStyle="1" w:styleId="31">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3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BodyText"/>
    <w:basedOn w:val="1"/>
    <w:autoRedefine/>
    <w:qFormat/>
    <w:uiPriority w:val="0"/>
    <w:pPr>
      <w:spacing w:after="120"/>
    </w:pPr>
    <w:rPr>
      <w:rFonts w:ascii="Calibri" w:hAnsi="Calibri" w:eastAsia="宋体" w:cs="Times New Roman"/>
      <w:szCs w:val="24"/>
    </w:rPr>
  </w:style>
  <w:style w:type="paragraph" w:customStyle="1" w:styleId="34">
    <w:name w:val="Normal_265"/>
    <w:autoRedefine/>
    <w:qFormat/>
    <w:uiPriority w:val="0"/>
    <w:rPr>
      <w:rFonts w:ascii="Times New Roman" w:hAnsi="Times New Roman" w:eastAsia="Times New Roman" w:cs="Times New Roman"/>
      <w:sz w:val="24"/>
      <w:szCs w:val="24"/>
      <w:lang w:val="en-US" w:eastAsia="zh-CN" w:bidi="ar-SA"/>
    </w:rPr>
  </w:style>
  <w:style w:type="paragraph" w:customStyle="1" w:styleId="3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List Paragraph"/>
    <w:basedOn w:val="1"/>
    <w:autoRedefine/>
    <w:qFormat/>
    <w:uiPriority w:val="0"/>
    <w:pPr>
      <w:ind w:firstLine="420" w:firstLineChars="200"/>
    </w:pPr>
    <w:rPr>
      <w:rFonts w:ascii="Calibri" w:hAnsi="Calibri"/>
    </w:rPr>
  </w:style>
  <w:style w:type="paragraph" w:customStyle="1" w:styleId="37">
    <w:name w:val="table"/>
    <w:autoRedefin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20639</Words>
  <Characters>21928</Characters>
  <Lines>186</Lines>
  <Paragraphs>52</Paragraphs>
  <TotalTime>98</TotalTime>
  <ScaleCrop>false</ScaleCrop>
  <LinksUpToDate>false</LinksUpToDate>
  <CharactersWithSpaces>22832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2021-08-10T17:00:00Z</dcterms:created>
  <dc:creator>lenovo</dc:creator>
  <cp:lastModifiedBy>funkybro</cp:lastModifiedBy>
  <dcterms:modified xsi:type="dcterms:W3CDTF">2024-02-27T02:49:46Z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4F250E89DDF34FF89A49A269D230A1F9_13</vt:lpwstr>
  </property>
</Properties>
</file>