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cstheme="minorEastAsia"/>
          <w:b/>
          <w:bCs/>
          <w:sz w:val="40"/>
          <w:szCs w:val="40"/>
        </w:rPr>
      </w:pPr>
    </w:p>
    <w:p>
      <w:pPr>
        <w:spacing w:line="700" w:lineRule="exact"/>
        <w:jc w:val="center"/>
        <w:outlineLvl w:val="0"/>
        <w:rPr>
          <w:rFonts w:hint="eastAsia"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rPr>
        <w:t>岳阳城陵矶新港区老管委会屋顶分布式光伏</w:t>
      </w:r>
    </w:p>
    <w:p>
      <w:pPr>
        <w:spacing w:line="700" w:lineRule="exact"/>
        <w:jc w:val="center"/>
        <w:outlineLvl w:val="0"/>
        <w:rPr>
          <w:rFonts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rPr>
        <w:t>发电项目</w:t>
      </w:r>
    </w:p>
    <w:p>
      <w:pPr>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招   标　 文   件</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p>
    <w:p>
      <w:pPr>
        <w:jc w:val="center"/>
        <w:rPr>
          <w:rFonts w:hint="default" w:asciiTheme="minorEastAsia" w:hAnsiTheme="minorEastAsia" w:eastAsiaTheme="minorEastAsia" w:cstheme="minorEastAsia"/>
          <w:b/>
          <w:bCs/>
          <w:sz w:val="36"/>
          <w:szCs w:val="36"/>
          <w:highlight w:val="none"/>
          <w:lang w:val="en-US" w:eastAsia="zh-CN"/>
        </w:rPr>
      </w:pPr>
      <w:r>
        <w:rPr>
          <w:rFonts w:hint="eastAsia" w:asciiTheme="minorEastAsia" w:hAnsiTheme="minorEastAsia" w:cstheme="minorEastAsia"/>
          <w:b/>
          <w:bCs/>
          <w:sz w:val="36"/>
          <w:szCs w:val="36"/>
          <w:highlight w:val="none"/>
        </w:rPr>
        <w:t>招标编号：HNGTJT2021-</w:t>
      </w:r>
      <w:r>
        <w:rPr>
          <w:rFonts w:hint="eastAsia" w:asciiTheme="minorEastAsia" w:hAnsiTheme="minorEastAsia" w:cstheme="minorEastAsia"/>
          <w:b/>
          <w:bCs/>
          <w:sz w:val="36"/>
          <w:szCs w:val="36"/>
          <w:highlight w:val="none"/>
          <w:lang w:val="en-US" w:eastAsia="zh-CN"/>
        </w:rPr>
        <w:t>013</w:t>
      </w: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rPr>
          <w:rFonts w:asciiTheme="minorEastAsia" w:hAnsiTheme="minorEastAsia" w:cstheme="minorEastAsia"/>
          <w:b/>
          <w:bCs/>
          <w:sz w:val="32"/>
          <w:szCs w:val="32"/>
        </w:rPr>
      </w:pPr>
    </w:p>
    <w:p>
      <w:pPr>
        <w:pStyle w:val="2"/>
        <w:ind w:firstLine="210"/>
        <w:rPr>
          <w:rFonts w:asciiTheme="minorEastAsia" w:hAnsiTheme="minorEastAsia" w:cstheme="minorEastAsia"/>
        </w:rPr>
      </w:pPr>
    </w:p>
    <w:p>
      <w:pPr>
        <w:spacing w:line="440" w:lineRule="exact"/>
        <w:ind w:firstLine="1108" w:firstLineChars="345"/>
        <w:rPr>
          <w:rFonts w:asciiTheme="minorEastAsia" w:hAnsiTheme="minorEastAsia" w:cstheme="minorEastAsia"/>
          <w:b/>
          <w:bCs/>
          <w:sz w:val="32"/>
          <w:szCs w:val="32"/>
        </w:rPr>
      </w:pPr>
    </w:p>
    <w:p>
      <w:pPr>
        <w:pStyle w:val="4"/>
        <w:rPr>
          <w:rFonts w:asciiTheme="minorEastAsia" w:hAnsiTheme="minorEastAsia" w:cstheme="minorEastAsia"/>
          <w:sz w:val="32"/>
          <w:szCs w:val="32"/>
        </w:rPr>
      </w:pPr>
    </w:p>
    <w:p>
      <w:pPr>
        <w:spacing w:line="360" w:lineRule="auto"/>
        <w:rPr>
          <w:rFonts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招标人：湖南临港开发投资集团有限公司</w:t>
      </w:r>
    </w:p>
    <w:p>
      <w:pPr>
        <w:spacing w:line="540" w:lineRule="exact"/>
        <w:jc w:val="center"/>
        <w:rPr>
          <w:rFonts w:asciiTheme="minorEastAsia" w:hAnsiTheme="minorEastAsia" w:cstheme="minorEastAsia"/>
          <w:b/>
          <w:bCs/>
          <w:sz w:val="32"/>
          <w:szCs w:val="32"/>
        </w:rPr>
      </w:pPr>
    </w:p>
    <w:p>
      <w:pPr>
        <w:spacing w:line="540" w:lineRule="exact"/>
        <w:jc w:val="center"/>
        <w:rPr>
          <w:rFonts w:asciiTheme="minorEastAsia" w:hAnsiTheme="minorEastAsia" w:cstheme="minorEastAsia"/>
          <w:b/>
          <w:sz w:val="28"/>
          <w:szCs w:val="28"/>
        </w:rPr>
      </w:pPr>
      <w:r>
        <w:rPr>
          <w:rFonts w:hint="eastAsia" w:asciiTheme="minorEastAsia" w:hAnsiTheme="minorEastAsia" w:cstheme="minorEastAsia"/>
          <w:b/>
          <w:kern w:val="0"/>
          <w:sz w:val="32"/>
          <w:szCs w:val="32"/>
        </w:rPr>
        <w:t>二〇二一年</w:t>
      </w:r>
      <w:r>
        <w:rPr>
          <w:rFonts w:hint="eastAsia" w:asciiTheme="minorEastAsia" w:hAnsiTheme="minorEastAsia" w:cstheme="minorEastAsia"/>
          <w:b/>
          <w:kern w:val="0"/>
          <w:sz w:val="32"/>
          <w:szCs w:val="32"/>
          <w:lang w:eastAsia="zh-CN"/>
        </w:rPr>
        <w:t>十一</w:t>
      </w:r>
      <w:r>
        <w:rPr>
          <w:rFonts w:hint="eastAsia" w:asciiTheme="minorEastAsia" w:hAnsiTheme="minorEastAsia" w:cstheme="minorEastAsia"/>
          <w:b/>
          <w:kern w:val="0"/>
          <w:sz w:val="32"/>
          <w:szCs w:val="32"/>
        </w:rPr>
        <w:t>月</w:t>
      </w:r>
    </w:p>
    <w:p>
      <w:pPr>
        <w:jc w:val="center"/>
        <w:rPr>
          <w:rFonts w:asciiTheme="minorEastAsia" w:hAnsiTheme="minorEastAsia" w:cstheme="minorEastAsia"/>
          <w:sz w:val="36"/>
          <w:szCs w:val="32"/>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2"/>
      </w:pPr>
    </w:p>
    <w:p>
      <w:pPr>
        <w:numPr>
          <w:ilvl w:val="0"/>
          <w:numId w:val="1"/>
        </w:numPr>
        <w:adjustRightInd w:val="0"/>
        <w:snapToGri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 xml:space="preserve"> 招标公告</w:t>
      </w:r>
    </w:p>
    <w:p>
      <w:pPr>
        <w:pStyle w:val="2"/>
        <w:ind w:firstLine="0" w:firstLineChars="0"/>
        <w:rPr>
          <w:rFonts w:asciiTheme="minorEastAsia" w:hAnsiTheme="minorEastAsia" w:cstheme="minorEastAsia"/>
          <w:bCs w:val="0"/>
          <w:color w:val="auto"/>
          <w:kern w:val="2"/>
          <w:sz w:val="28"/>
          <w:szCs w:val="28"/>
        </w:rPr>
      </w:pPr>
    </w:p>
    <w:p>
      <w:pPr>
        <w:pStyle w:val="2"/>
        <w:ind w:firstLine="560" w:firstLineChars="200"/>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本次招标金额在国家规定公开招标限额以下，由我司依法依规自行组织，采用简易招标方式确定中标单位。</w:t>
      </w:r>
    </w:p>
    <w:p>
      <w:pPr>
        <w:pStyle w:val="3"/>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项目概况</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1、项目名称：</w:t>
      </w:r>
      <w:r>
        <w:rPr>
          <w:rFonts w:hint="eastAsia" w:asciiTheme="minorEastAsia" w:hAnsiTheme="minorEastAsia" w:cstheme="minorEastAsia"/>
          <w:sz w:val="28"/>
          <w:szCs w:val="28"/>
          <w:lang w:eastAsia="zh-CN"/>
        </w:rPr>
        <w:t>岳阳城陵矶新港区老管委会屋顶分布式光伏发电项目</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2、建设地点：湖南城陵矶新港区老管委会；</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3、项目基本情况：</w:t>
      </w:r>
    </w:p>
    <w:p>
      <w:pPr>
        <w:adjustRightInd w:val="0"/>
        <w:snapToGrid w:val="0"/>
        <w:spacing w:line="360" w:lineRule="auto"/>
        <w:ind w:firstLine="560" w:firstLineChars="200"/>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lang w:eastAsia="zh-CN"/>
        </w:rPr>
        <w:t>本项目</w:t>
      </w:r>
      <w:r>
        <w:rPr>
          <w:rFonts w:hint="eastAsia" w:asciiTheme="minorEastAsia" w:hAnsiTheme="minorEastAsia" w:cstheme="minorEastAsia"/>
          <w:sz w:val="28"/>
          <w:szCs w:val="28"/>
        </w:rPr>
        <w:t>利用老管委会建筑屋面建设屋面分布式光伏发电项目</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光伏组件安装于老管委会5号厂房和2号员工宿舍空置屋面，屋顶总面积约为5000平方米。屋面障碍物较少，比较适宜光伏组件的布置</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具体施工内容以施工图和工程量清单为准）。</w:t>
      </w:r>
    </w:p>
    <w:p>
      <w:pPr>
        <w:adjustRightInd w:val="0"/>
        <w:snapToGrid w:val="0"/>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4、招标控制价：</w:t>
      </w:r>
      <w:r>
        <w:rPr>
          <w:rFonts w:hint="eastAsia" w:asciiTheme="minorEastAsia" w:hAnsiTheme="minorEastAsia" w:cstheme="minorEastAsia"/>
          <w:sz w:val="28"/>
          <w:szCs w:val="28"/>
          <w:highlight w:val="none"/>
          <w:lang w:val="en-US" w:eastAsia="zh-CN"/>
        </w:rPr>
        <w:t>1482201.68</w:t>
      </w:r>
      <w:r>
        <w:rPr>
          <w:rFonts w:hint="eastAsia" w:asciiTheme="minorEastAsia" w:hAnsiTheme="minorEastAsia" w:cstheme="minorEastAsia"/>
          <w:sz w:val="28"/>
          <w:szCs w:val="28"/>
          <w:highlight w:val="none"/>
        </w:rPr>
        <w:t>元</w:t>
      </w:r>
    </w:p>
    <w:p>
      <w:pPr>
        <w:adjustRightInd w:val="0"/>
        <w:snapToGrid w:val="0"/>
        <w:spacing w:line="360" w:lineRule="auto"/>
        <w:ind w:firstLine="560" w:firstLineChars="200"/>
        <w:rPr>
          <w:rFonts w:asciiTheme="minorEastAsia" w:hAnsiTheme="minorEastAsia" w:cstheme="minorEastAsia"/>
          <w:sz w:val="28"/>
          <w:szCs w:val="28"/>
          <w:highlight w:val="yellow"/>
        </w:rPr>
      </w:pPr>
      <w:r>
        <w:rPr>
          <w:rFonts w:hint="eastAsia" w:asciiTheme="minorEastAsia" w:hAnsiTheme="minorEastAsia" w:cstheme="minorEastAsia"/>
          <w:sz w:val="28"/>
          <w:szCs w:val="28"/>
          <w:highlight w:val="none"/>
        </w:rPr>
        <w:t>5、工期要求：</w:t>
      </w:r>
      <w:r>
        <w:rPr>
          <w:rFonts w:hint="eastAsia" w:asciiTheme="minorEastAsia" w:hAnsiTheme="minorEastAsia" w:cstheme="minorEastAsia"/>
          <w:sz w:val="28"/>
          <w:szCs w:val="28"/>
          <w:highlight w:val="none"/>
          <w:lang w:val="en-US" w:eastAsia="zh-CN"/>
        </w:rPr>
        <w:t>60</w:t>
      </w:r>
      <w:r>
        <w:rPr>
          <w:rFonts w:hint="eastAsia" w:asciiTheme="minorEastAsia" w:hAnsiTheme="minorEastAsia" w:cstheme="minorEastAsia"/>
          <w:sz w:val="28"/>
          <w:szCs w:val="28"/>
          <w:highlight w:val="none"/>
        </w:rPr>
        <w:t>天（日历天）；</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6、招标范围：详见施工图和工程量清单；</w:t>
      </w:r>
    </w:p>
    <w:p>
      <w:pPr>
        <w:adjustRightInd w:val="0"/>
        <w:snapToGrid w:val="0"/>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7、质量要求：符合国家颁布的施工验收规范和质量检验标准，全部工程达到合格标准；</w:t>
      </w:r>
    </w:p>
    <w:p>
      <w:pPr>
        <w:adjustRightInd w:val="0"/>
        <w:snapToGrid w:val="0"/>
        <w:spacing w:line="360" w:lineRule="auto"/>
        <w:ind w:firstLine="560" w:firstLineChars="200"/>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val="en-US" w:eastAsia="zh-CN"/>
        </w:rPr>
        <w:t>8、</w:t>
      </w:r>
      <w:r>
        <w:rPr>
          <w:rFonts w:hint="eastAsia" w:asciiTheme="minorEastAsia" w:hAnsiTheme="minorEastAsia" w:cstheme="minorEastAsia"/>
          <w:sz w:val="28"/>
          <w:szCs w:val="28"/>
          <w:highlight w:val="none"/>
          <w:lang w:eastAsia="zh-CN"/>
        </w:rPr>
        <w:t>材料要求：</w:t>
      </w:r>
      <w:r>
        <w:rPr>
          <w:rFonts w:hint="default" w:asciiTheme="minorEastAsia" w:hAnsiTheme="minorEastAsia" w:cstheme="minorEastAsia"/>
          <w:sz w:val="28"/>
          <w:szCs w:val="28"/>
          <w:highlight w:val="none"/>
          <w:lang w:eastAsia="zh-CN"/>
        </w:rPr>
        <w:t>①</w:t>
      </w:r>
      <w:r>
        <w:rPr>
          <w:rFonts w:hint="eastAsia" w:asciiTheme="minorEastAsia" w:hAnsiTheme="minorEastAsia" w:cstheme="minorEastAsia"/>
          <w:sz w:val="28"/>
          <w:szCs w:val="28"/>
          <w:highlight w:val="none"/>
          <w:lang w:eastAsia="zh-CN"/>
        </w:rPr>
        <w:t>光伏组件品牌：天合光能、尚德电力、阿特斯、协鑫集成、晶科。</w:t>
      </w:r>
      <w:r>
        <w:rPr>
          <w:rFonts w:hint="default" w:asciiTheme="minorEastAsia" w:hAnsiTheme="minorEastAsia" w:cstheme="minorEastAsia"/>
          <w:sz w:val="28"/>
          <w:szCs w:val="28"/>
          <w:highlight w:val="none"/>
          <w:lang w:eastAsia="zh-CN"/>
        </w:rPr>
        <w:t>②</w:t>
      </w:r>
      <w:r>
        <w:rPr>
          <w:rFonts w:hint="eastAsia" w:asciiTheme="minorEastAsia" w:hAnsiTheme="minorEastAsia" w:cstheme="minorEastAsia"/>
          <w:sz w:val="28"/>
          <w:szCs w:val="28"/>
          <w:highlight w:val="none"/>
          <w:lang w:eastAsia="zh-CN"/>
        </w:rPr>
        <w:t>逆变器品牌：华为、阳光电源、特变电工、上能、科士达。</w:t>
      </w:r>
    </w:p>
    <w:p>
      <w:pPr>
        <w:adjustRightInd w:val="0"/>
        <w:snapToGrid w:val="0"/>
        <w:spacing w:line="360" w:lineRule="auto"/>
        <w:ind w:firstLine="560" w:firstLineChars="200"/>
        <w:rPr>
          <w:rFonts w:asciiTheme="minorEastAsia" w:hAnsiTheme="minorEastAsia" w:cstheme="minorEastAsia"/>
          <w:sz w:val="28"/>
          <w:szCs w:val="28"/>
          <w:highlight w:val="yellow"/>
        </w:rPr>
      </w:pPr>
      <w:r>
        <w:rPr>
          <w:rFonts w:hint="eastAsia" w:asciiTheme="minorEastAsia" w:hAnsiTheme="minorEastAsia" w:cstheme="minorEastAsia"/>
          <w:sz w:val="28"/>
          <w:szCs w:val="28"/>
          <w:highlight w:val="none"/>
          <w:lang w:val="en-US" w:eastAsia="zh-CN"/>
        </w:rPr>
        <w:t>9</w:t>
      </w:r>
      <w:r>
        <w:rPr>
          <w:rFonts w:hint="eastAsia" w:asciiTheme="minorEastAsia" w:hAnsiTheme="minorEastAsia" w:cstheme="minorEastAsia"/>
          <w:sz w:val="28"/>
          <w:szCs w:val="28"/>
          <w:highlight w:val="none"/>
        </w:rPr>
        <w:t>、缺陷责任期：12个月。</w:t>
      </w:r>
    </w:p>
    <w:p>
      <w:pPr>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投标人资格要求</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1、具有独立法人资格并依法取得企业营业执照，营业执照处于有效期；</w:t>
      </w:r>
    </w:p>
    <w:p>
      <w:pPr>
        <w:adjustRightInd w:val="0"/>
        <w:snapToGrid w:val="0"/>
        <w:spacing w:line="360" w:lineRule="auto"/>
        <w:ind w:firstLine="560" w:firstLineChars="200"/>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rPr>
        <w:t>2</w:t>
      </w:r>
      <w:r>
        <w:rPr>
          <w:rFonts w:hint="eastAsia" w:asciiTheme="minorEastAsia" w:hAnsiTheme="minorEastAsia" w:cstheme="minorEastAsia"/>
          <w:sz w:val="28"/>
          <w:szCs w:val="28"/>
          <w:highlight w:val="none"/>
          <w:lang w:eastAsia="zh-CN"/>
        </w:rPr>
        <w:t>、</w:t>
      </w:r>
      <w:r>
        <w:rPr>
          <w:rFonts w:hint="eastAsia" w:asciiTheme="minorEastAsia" w:hAnsiTheme="minorEastAsia" w:cstheme="minorEastAsia"/>
          <w:sz w:val="28"/>
          <w:szCs w:val="28"/>
          <w:highlight w:val="none"/>
        </w:rPr>
        <w:t xml:space="preserve"> 具有电力工程施工总承包三级及以上资质，且安全生产许可证在有效期内</w:t>
      </w:r>
      <w:r>
        <w:rPr>
          <w:rFonts w:hint="eastAsia" w:asciiTheme="minorEastAsia" w:hAnsiTheme="minorEastAsia" w:cstheme="minorEastAsia"/>
          <w:sz w:val="28"/>
          <w:szCs w:val="28"/>
          <w:highlight w:val="none"/>
          <w:lang w:eastAsia="zh-CN"/>
        </w:rPr>
        <w:t>；</w:t>
      </w:r>
    </w:p>
    <w:p>
      <w:pPr>
        <w:pStyle w:val="3"/>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3、无不良信用记录，提供在“信用中国”的查询复印件加盖公章。</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资格审查</w:t>
      </w:r>
    </w:p>
    <w:p>
      <w:pPr>
        <w:pStyle w:val="3"/>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sz w:val="28"/>
          <w:szCs w:val="28"/>
        </w:rPr>
        <w:t xml:space="preserve">    开标时现场核验，提供授权委托书、营业执照、资质证书、</w:t>
      </w:r>
      <w:r>
        <w:rPr>
          <w:rFonts w:hint="eastAsia" w:asciiTheme="minorEastAsia" w:hAnsiTheme="minorEastAsia" w:cstheme="minorEastAsia"/>
          <w:sz w:val="28"/>
          <w:szCs w:val="28"/>
          <w:lang w:eastAsia="zh-CN"/>
        </w:rPr>
        <w:t>安全生产许可证、</w:t>
      </w:r>
      <w:r>
        <w:rPr>
          <w:rFonts w:hint="eastAsia" w:asciiTheme="minorEastAsia" w:hAnsiTheme="minorEastAsia" w:cstheme="minorEastAsia"/>
          <w:sz w:val="28"/>
          <w:szCs w:val="28"/>
        </w:rPr>
        <w:t>“信用中国”的查询报告、投标保证金银行转账回单（以上复印件加盖公章）。</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评标办法</w:t>
      </w:r>
    </w:p>
    <w:p>
      <w:pPr>
        <w:adjustRightInd w:val="0"/>
        <w:snapToGrid w:val="0"/>
        <w:spacing w:line="360" w:lineRule="auto"/>
        <w:ind w:firstLine="560" w:firstLineChars="200"/>
        <w:rPr>
          <w:rFonts w:asciiTheme="minorEastAsia" w:hAnsiTheme="minorEastAsia" w:cstheme="minorEastAsia"/>
          <w:color w:val="FF0000"/>
          <w:sz w:val="28"/>
          <w:szCs w:val="28"/>
        </w:rPr>
      </w:pPr>
      <w:r>
        <w:rPr>
          <w:rFonts w:hint="eastAsia" w:asciiTheme="minorEastAsia" w:hAnsiTheme="minorEastAsia" w:cstheme="minorEastAsia"/>
          <w:sz w:val="28"/>
          <w:szCs w:val="28"/>
        </w:rPr>
        <w:t>本次招标采用“最低价法”评标。投标人根据图纸及财评预算清单进行报价，编制投标预算清单，工程量以招标清单为准，报价文件中总价和各子项单价均不得超过财评清单金额（如投标人认为预算清单中价格有误，须在开标前规定的时间内向招标人提出质疑，按招标人核实的回复意见执行）。</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投标保证</w:t>
      </w:r>
    </w:p>
    <w:p>
      <w:pPr>
        <w:adjustRightInd w:val="0"/>
        <w:snapToGrid w:val="0"/>
        <w:spacing w:line="360" w:lineRule="auto"/>
        <w:ind w:firstLine="560" w:firstLineChars="200"/>
        <w:rPr>
          <w:rFonts w:asciiTheme="minorEastAsia" w:hAnsiTheme="minorEastAsia" w:cstheme="minorEastAsia"/>
          <w:sz w:val="28"/>
          <w:szCs w:val="28"/>
          <w:highlight w:val="yellow"/>
        </w:rPr>
      </w:pPr>
      <w:r>
        <w:rPr>
          <w:rFonts w:hint="eastAsia" w:asciiTheme="minorEastAsia" w:hAnsiTheme="minorEastAsia" w:cstheme="minorEastAsia"/>
          <w:sz w:val="28"/>
          <w:szCs w:val="28"/>
        </w:rPr>
        <w:t>1、投标保证金的金额（人民币）</w:t>
      </w:r>
      <w:r>
        <w:rPr>
          <w:rFonts w:hint="eastAsia" w:asciiTheme="minorEastAsia" w:hAnsiTheme="minorEastAsia" w:cstheme="minorEastAsia"/>
          <w:sz w:val="28"/>
          <w:szCs w:val="28"/>
          <w:highlight w:val="none"/>
        </w:rPr>
        <w:t>：壹拾伍万圆元整（￥</w:t>
      </w:r>
      <w:r>
        <w:rPr>
          <w:rFonts w:hint="eastAsia" w:asciiTheme="minorEastAsia" w:hAnsiTheme="minorEastAsia" w:cstheme="minorEastAsia"/>
          <w:sz w:val="28"/>
          <w:szCs w:val="28"/>
          <w:highlight w:val="none"/>
          <w:lang w:val="en-US" w:eastAsia="zh-CN"/>
        </w:rPr>
        <w:t>15</w:t>
      </w:r>
      <w:r>
        <w:rPr>
          <w:rFonts w:hint="eastAsia" w:asciiTheme="minorEastAsia" w:hAnsiTheme="minorEastAsia" w:cstheme="minorEastAsia"/>
          <w:sz w:val="28"/>
          <w:szCs w:val="28"/>
          <w:highlight w:val="none"/>
        </w:rPr>
        <w:t>0000.00元）；</w:t>
      </w:r>
    </w:p>
    <w:p>
      <w:pPr>
        <w:adjustRightInd w:val="0"/>
        <w:snapToGrid w:val="0"/>
        <w:spacing w:line="360" w:lineRule="auto"/>
        <w:ind w:firstLine="560" w:firstLineChars="200"/>
        <w:rPr>
          <w:rFonts w:asciiTheme="minorEastAsia" w:hAnsiTheme="minorEastAsia" w:cstheme="minorEastAsia"/>
          <w:sz w:val="28"/>
          <w:szCs w:val="28"/>
          <w:highlight w:val="yellow"/>
        </w:rPr>
      </w:pPr>
      <w:r>
        <w:rPr>
          <w:rFonts w:hint="eastAsia" w:asciiTheme="minorEastAsia" w:hAnsiTheme="minorEastAsia" w:cstheme="minorEastAsia"/>
          <w:sz w:val="28"/>
          <w:szCs w:val="28"/>
        </w:rPr>
        <w:t>2、投标保证金到账截止时间：</w:t>
      </w:r>
      <w:r>
        <w:rPr>
          <w:rFonts w:hint="eastAsia" w:asciiTheme="minorEastAsia" w:hAnsiTheme="minorEastAsia" w:cstheme="minorEastAsia"/>
          <w:sz w:val="28"/>
          <w:szCs w:val="28"/>
          <w:highlight w:val="none"/>
        </w:rPr>
        <w:t>2021年</w:t>
      </w:r>
      <w:r>
        <w:rPr>
          <w:rFonts w:hint="eastAsia" w:asciiTheme="minorEastAsia" w:hAnsiTheme="minorEastAsia" w:cstheme="minorEastAsia"/>
          <w:sz w:val="28"/>
          <w:szCs w:val="28"/>
          <w:highlight w:val="none"/>
          <w:lang w:val="en-US" w:eastAsia="zh-CN"/>
        </w:rPr>
        <w:t>11</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30</w:t>
      </w:r>
      <w:r>
        <w:rPr>
          <w:rFonts w:hint="eastAsia" w:asciiTheme="minorEastAsia" w:hAnsiTheme="minorEastAsia" w:cstheme="minorEastAsia"/>
          <w:sz w:val="28"/>
          <w:szCs w:val="28"/>
          <w:highlight w:val="none"/>
        </w:rPr>
        <w:t>日12时00分前到账；</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3、缴纳方式：银行转账。投标保证金从投标人单位的基本账户以银行转账方式一次性按时、足额转入我司指定账号。未中标单位投标保证金在确定中标人后3天内原路退还，不计利息。缴款账号信息如下：</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账户名：湖南临港开发投资集团有限公司</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开户行：建行岳阳城陵矶支行</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银行账号：4300　1650　0660　5250　1462</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招标文件获取</w:t>
      </w:r>
    </w:p>
    <w:p>
      <w:pPr>
        <w:adjustRightInd w:val="0"/>
        <w:snapToGrid w:val="0"/>
        <w:spacing w:line="360" w:lineRule="auto"/>
        <w:ind w:firstLine="640"/>
        <w:rPr>
          <w:rFonts w:asciiTheme="minorEastAsia" w:hAnsiTheme="minorEastAsia" w:cstheme="minorEastAsia"/>
          <w:sz w:val="28"/>
          <w:szCs w:val="28"/>
        </w:rPr>
      </w:pPr>
      <w:r>
        <w:rPr>
          <w:rFonts w:hint="eastAsia" w:asciiTheme="minorEastAsia" w:hAnsiTheme="minorEastAsia" w:cstheme="minorEastAsia"/>
          <w:sz w:val="28"/>
          <w:szCs w:val="28"/>
        </w:rPr>
        <w:t>凡有意参加本次投标的单位，请于</w:t>
      </w:r>
      <w:r>
        <w:rPr>
          <w:rFonts w:hint="eastAsia" w:asciiTheme="minorEastAsia" w:hAnsiTheme="minorEastAsia" w:cstheme="minorEastAsia"/>
          <w:sz w:val="28"/>
          <w:szCs w:val="28"/>
          <w:highlight w:val="none"/>
        </w:rPr>
        <w:t>2021年</w:t>
      </w:r>
      <w:r>
        <w:rPr>
          <w:rFonts w:hint="eastAsia" w:asciiTheme="minorEastAsia" w:hAnsiTheme="minorEastAsia" w:cstheme="minorEastAsia"/>
          <w:sz w:val="28"/>
          <w:szCs w:val="28"/>
          <w:highlight w:val="none"/>
          <w:lang w:val="en-US" w:eastAsia="zh-CN"/>
        </w:rPr>
        <w:t>11</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25</w:t>
      </w:r>
      <w:r>
        <w:rPr>
          <w:rFonts w:hint="eastAsia" w:asciiTheme="minorEastAsia" w:hAnsiTheme="minorEastAsia" w:cstheme="minorEastAsia"/>
          <w:sz w:val="28"/>
          <w:szCs w:val="28"/>
          <w:highlight w:val="none"/>
        </w:rPr>
        <w:t>日至2021年</w:t>
      </w:r>
      <w:r>
        <w:rPr>
          <w:rFonts w:hint="eastAsia" w:asciiTheme="minorEastAsia" w:hAnsiTheme="minorEastAsia" w:cstheme="minorEastAsia"/>
          <w:sz w:val="28"/>
          <w:szCs w:val="28"/>
          <w:highlight w:val="none"/>
          <w:lang w:val="en-US" w:eastAsia="zh-CN"/>
        </w:rPr>
        <w:t>11</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30</w:t>
      </w:r>
      <w:r>
        <w:rPr>
          <w:rFonts w:hint="eastAsia" w:asciiTheme="minorEastAsia" w:hAnsiTheme="minorEastAsia" w:cstheme="minorEastAsia"/>
          <w:sz w:val="28"/>
          <w:szCs w:val="28"/>
          <w:highlight w:val="none"/>
        </w:rPr>
        <w:t>日</w:t>
      </w:r>
      <w:r>
        <w:rPr>
          <w:rFonts w:hint="eastAsia" w:asciiTheme="minorEastAsia" w:hAnsiTheme="minorEastAsia" w:cstheme="minorEastAsia"/>
          <w:sz w:val="28"/>
          <w:szCs w:val="28"/>
        </w:rPr>
        <w:t>登录湖南临港开发投资集团有限公司官网（http://hngtjt.cn/）下载招标文件、施工图和财评预算清单。</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投标文件递交</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投标文件须包含授权委托书及身份证明、营业执照、资质证书、投标保证金银行转账回单、“信用中国”的查询报告、投标清单（以上复印件须加盖公章），投标文件递交的截止时间及开标时间为</w:t>
      </w:r>
      <w:r>
        <w:rPr>
          <w:rFonts w:hint="eastAsia" w:asciiTheme="minorEastAsia" w:hAnsiTheme="minorEastAsia" w:cstheme="minorEastAsia"/>
          <w:sz w:val="28"/>
          <w:szCs w:val="28"/>
          <w:highlight w:val="none"/>
        </w:rPr>
        <w:t>2021年</w:t>
      </w:r>
      <w:r>
        <w:rPr>
          <w:rFonts w:hint="eastAsia" w:asciiTheme="minorEastAsia" w:hAnsiTheme="minorEastAsia" w:cstheme="minorEastAsia"/>
          <w:sz w:val="28"/>
          <w:szCs w:val="28"/>
          <w:highlight w:val="none"/>
          <w:lang w:val="en-US" w:eastAsia="zh-CN"/>
        </w:rPr>
        <w:t>11</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30</w:t>
      </w:r>
      <w:r>
        <w:rPr>
          <w:rFonts w:hint="eastAsia" w:asciiTheme="minorEastAsia" w:hAnsiTheme="minorEastAsia" w:cstheme="minorEastAsia"/>
          <w:sz w:val="28"/>
          <w:szCs w:val="28"/>
          <w:highlight w:val="none"/>
        </w:rPr>
        <w:t>日下午14时00分，</w:t>
      </w:r>
      <w:r>
        <w:rPr>
          <w:rFonts w:hint="eastAsia" w:asciiTheme="minorEastAsia" w:hAnsiTheme="minorEastAsia" w:cstheme="minorEastAsia"/>
          <w:sz w:val="28"/>
          <w:szCs w:val="28"/>
        </w:rPr>
        <w:t>开标地点为新港区通关服务中心602会议室。</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发布公告的媒介</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招标公告在湖南临港开发投资集团有限公司官网（http://hngtjt.cn/）发布。</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监督机构</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本次招标</w:t>
      </w:r>
      <w:r>
        <w:rPr>
          <w:rFonts w:hint="eastAsia" w:asciiTheme="minorEastAsia" w:hAnsiTheme="minorEastAsia" w:cstheme="minorEastAsia"/>
          <w:sz w:val="28"/>
          <w:szCs w:val="28"/>
          <w:lang w:eastAsia="zh-CN"/>
        </w:rPr>
        <w:t>评标小组由</w:t>
      </w:r>
      <w:r>
        <w:rPr>
          <w:rFonts w:hint="eastAsia" w:asciiTheme="minorEastAsia" w:hAnsiTheme="minorEastAsia" w:cstheme="minorEastAsia"/>
          <w:sz w:val="28"/>
          <w:szCs w:val="28"/>
          <w:highlight w:val="none"/>
        </w:rPr>
        <w:t>我公司</w:t>
      </w:r>
      <w:r>
        <w:rPr>
          <w:rFonts w:hint="eastAsia" w:asciiTheme="minorEastAsia" w:hAnsiTheme="minorEastAsia" w:cstheme="minorEastAsia"/>
          <w:sz w:val="28"/>
          <w:szCs w:val="28"/>
          <w:highlight w:val="none"/>
          <w:lang w:eastAsia="zh-CN"/>
        </w:rPr>
        <w:t>项目</w:t>
      </w:r>
      <w:r>
        <w:rPr>
          <w:rFonts w:hint="eastAsia" w:asciiTheme="minorEastAsia" w:hAnsiTheme="minorEastAsia" w:cstheme="minorEastAsia"/>
          <w:sz w:val="28"/>
          <w:szCs w:val="28"/>
          <w:highlight w:val="none"/>
        </w:rPr>
        <w:t>前期部、工程</w:t>
      </w:r>
      <w:r>
        <w:rPr>
          <w:rFonts w:hint="eastAsia" w:asciiTheme="minorEastAsia" w:hAnsiTheme="minorEastAsia" w:cstheme="minorEastAsia"/>
          <w:sz w:val="28"/>
          <w:szCs w:val="28"/>
          <w:highlight w:val="none"/>
          <w:lang w:eastAsia="zh-CN"/>
        </w:rPr>
        <w:t>管理</w:t>
      </w:r>
      <w:r>
        <w:rPr>
          <w:rFonts w:hint="eastAsia" w:asciiTheme="minorEastAsia" w:hAnsiTheme="minorEastAsia" w:cstheme="minorEastAsia"/>
          <w:sz w:val="28"/>
          <w:szCs w:val="28"/>
          <w:highlight w:val="none"/>
        </w:rPr>
        <w:t>部、</w:t>
      </w:r>
      <w:r>
        <w:rPr>
          <w:rFonts w:hint="eastAsia" w:asciiTheme="minorEastAsia" w:hAnsiTheme="minorEastAsia" w:cstheme="minorEastAsia"/>
          <w:sz w:val="28"/>
          <w:szCs w:val="28"/>
          <w:highlight w:val="none"/>
          <w:lang w:eastAsia="zh-CN"/>
        </w:rPr>
        <w:t>造价评审</w:t>
      </w:r>
      <w:r>
        <w:rPr>
          <w:rFonts w:hint="eastAsia" w:asciiTheme="minorEastAsia" w:hAnsiTheme="minorEastAsia" w:cstheme="minorEastAsia"/>
          <w:sz w:val="28"/>
          <w:szCs w:val="28"/>
          <w:highlight w:val="none"/>
        </w:rPr>
        <w:t>部</w:t>
      </w:r>
      <w:r>
        <w:rPr>
          <w:rFonts w:hint="eastAsia" w:asciiTheme="minorEastAsia" w:hAnsiTheme="minorEastAsia" w:cstheme="minorEastAsia"/>
          <w:sz w:val="28"/>
          <w:szCs w:val="28"/>
          <w:highlight w:val="none"/>
          <w:lang w:eastAsia="zh-CN"/>
        </w:rPr>
        <w:t>人员组成，由纪检监察部</w:t>
      </w:r>
      <w:r>
        <w:rPr>
          <w:rFonts w:hint="eastAsia" w:asciiTheme="minorEastAsia" w:hAnsiTheme="minorEastAsia" w:cstheme="minorEastAsia"/>
          <w:sz w:val="28"/>
          <w:szCs w:val="28"/>
          <w:highlight w:val="none"/>
        </w:rPr>
        <w:t>进行</w:t>
      </w:r>
      <w:r>
        <w:rPr>
          <w:rFonts w:hint="eastAsia" w:asciiTheme="minorEastAsia" w:hAnsiTheme="minorEastAsia" w:cstheme="minorEastAsia"/>
          <w:sz w:val="28"/>
          <w:szCs w:val="28"/>
          <w:highlight w:val="none"/>
          <w:lang w:eastAsia="zh-CN"/>
        </w:rPr>
        <w:t>现场</w:t>
      </w:r>
      <w:r>
        <w:rPr>
          <w:rFonts w:hint="eastAsia" w:asciiTheme="minorEastAsia" w:hAnsiTheme="minorEastAsia" w:cstheme="minorEastAsia"/>
          <w:sz w:val="28"/>
          <w:szCs w:val="28"/>
          <w:highlight w:val="none"/>
        </w:rPr>
        <w:t>监督。</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其它</w:t>
      </w:r>
    </w:p>
    <w:p>
      <w:pPr>
        <w:pStyle w:val="3"/>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中标单位须遵守我司相关管理制度，中标后一周内与我公司签订施工合同，如中标人违反我公司相关规定，将列入黑名单，5年内不允许再参与本司业务，并按我司制度进行相应处罚。</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联系方式</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招 标 人： 湖南临港开发投资集团有限公司 </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    址： 湖南城陵矶临港新区</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联 系 人： </w:t>
      </w:r>
      <w:r>
        <w:rPr>
          <w:rFonts w:hint="eastAsia" w:asciiTheme="minorEastAsia" w:hAnsiTheme="minorEastAsia" w:cstheme="minorEastAsia"/>
          <w:sz w:val="28"/>
          <w:szCs w:val="28"/>
          <w:lang w:eastAsia="zh-CN"/>
        </w:rPr>
        <w:t>林女士</w:t>
      </w:r>
      <w:r>
        <w:rPr>
          <w:rFonts w:hint="eastAsia" w:asciiTheme="minorEastAsia" w:hAnsiTheme="minorEastAsia" w:cstheme="minorEastAsia"/>
          <w:sz w:val="28"/>
          <w:szCs w:val="28"/>
        </w:rPr>
        <w:t xml:space="preserve">   </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电    话： 0730-8422833  </w:t>
      </w:r>
    </w:p>
    <w:p>
      <w:pPr>
        <w:pStyle w:val="3"/>
        <w:adjustRightInd w:val="0"/>
        <w:snapToGrid w:val="0"/>
        <w:spacing w:line="360" w:lineRule="auto"/>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邮    箱： </w:t>
      </w:r>
      <w:r>
        <w:rPr>
          <w:rFonts w:hint="eastAsia" w:asciiTheme="minorEastAsia" w:hAnsiTheme="minorEastAsia" w:cstheme="minorEastAsia"/>
          <w:sz w:val="28"/>
          <w:szCs w:val="28"/>
          <w:lang w:val="en-US" w:eastAsia="zh-CN"/>
        </w:rPr>
        <w:t>linshaupc</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163</w:t>
      </w:r>
      <w:r>
        <w:rPr>
          <w:rFonts w:hint="eastAsia" w:asciiTheme="minorEastAsia" w:hAnsiTheme="minorEastAsia" w:cstheme="minorEastAsia"/>
          <w:sz w:val="28"/>
          <w:szCs w:val="28"/>
        </w:rPr>
        <w:t xml:space="preserve">.com  </w:t>
      </w: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pStyle w:val="3"/>
        <w:adjustRightInd w:val="0"/>
        <w:snapToGrid w:val="0"/>
        <w:spacing w:line="360" w:lineRule="auto"/>
        <w:rPr>
          <w:rFonts w:hint="eastAsia" w:asciiTheme="minorEastAsia" w:hAnsiTheme="minorEastAsia" w:cstheme="minorEastAsia"/>
          <w:sz w:val="28"/>
          <w:szCs w:val="28"/>
        </w:rPr>
      </w:pPr>
    </w:p>
    <w:p>
      <w:pPr>
        <w:widowControl/>
        <w:jc w:val="center"/>
        <w:outlineLvl w:val="0"/>
        <w:rPr>
          <w:rFonts w:asciiTheme="minorEastAsia" w:hAnsiTheme="minorEastAsia" w:cstheme="minorEastAsia"/>
          <w:b/>
          <w:sz w:val="36"/>
          <w:szCs w:val="36"/>
        </w:rPr>
      </w:pPr>
      <w:bookmarkStart w:id="0" w:name="_Toc1533"/>
      <w:bookmarkStart w:id="1" w:name="_Toc5650"/>
      <w:bookmarkStart w:id="2" w:name="_Toc6728"/>
      <w:r>
        <w:rPr>
          <w:rFonts w:hint="eastAsia" w:asciiTheme="minorEastAsia" w:hAnsiTheme="minorEastAsia" w:cstheme="minorEastAsia"/>
          <w:b/>
          <w:sz w:val="36"/>
          <w:szCs w:val="36"/>
        </w:rPr>
        <w:t>第二章  投标人须知</w:t>
      </w:r>
      <w:bookmarkEnd w:id="0"/>
      <w:bookmarkEnd w:id="1"/>
      <w:bookmarkEnd w:id="2"/>
    </w:p>
    <w:p>
      <w:pPr>
        <w:rPr>
          <w:rFonts w:asciiTheme="minorEastAsia" w:hAnsiTheme="minorEastAsia" w:cstheme="minorEastAsia"/>
        </w:rPr>
      </w:pPr>
    </w:p>
    <w:tbl>
      <w:tblPr>
        <w:tblStyle w:val="1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条款号</w:t>
            </w:r>
          </w:p>
        </w:tc>
        <w:tc>
          <w:tcPr>
            <w:tcW w:w="1770" w:type="dxa"/>
            <w:noWrap/>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条款名称</w:t>
            </w:r>
          </w:p>
        </w:tc>
        <w:tc>
          <w:tcPr>
            <w:tcW w:w="6096" w:type="dxa"/>
            <w:noWrap/>
            <w:vAlign w:val="center"/>
          </w:tcPr>
          <w:p>
            <w:pPr>
              <w:ind w:left="-103" w:leftChars="-49" w:firstLine="422" w:firstLineChars="201"/>
              <w:jc w:val="center"/>
              <w:rPr>
                <w:rFonts w:asciiTheme="minorEastAsia" w:hAnsiTheme="minorEastAsia" w:cstheme="minorEastAsia"/>
                <w:bCs/>
                <w:szCs w:val="21"/>
              </w:rPr>
            </w:pPr>
            <w:r>
              <w:rPr>
                <w:rFonts w:hint="eastAsia" w:asciiTheme="minorEastAsia" w:hAnsiTheme="minorEastAsia" w:cstheme="minorEastAsia"/>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1770" w:type="dxa"/>
            <w:noWrap/>
            <w:vAlign w:val="center"/>
          </w:tcPr>
          <w:p>
            <w:pPr>
              <w:ind w:firstLine="210" w:firstLineChars="100"/>
              <w:jc w:val="center"/>
              <w:rPr>
                <w:rFonts w:asciiTheme="minorEastAsia" w:hAnsiTheme="minorEastAsia" w:cstheme="minorEastAsia"/>
                <w:szCs w:val="21"/>
              </w:rPr>
            </w:pPr>
            <w:r>
              <w:rPr>
                <w:rFonts w:hint="eastAsia" w:asciiTheme="minorEastAsia" w:hAnsiTheme="minorEastAsia" w:cstheme="minorEastAsia"/>
                <w:szCs w:val="21"/>
              </w:rPr>
              <w:t>是否接受</w:t>
            </w:r>
          </w:p>
          <w:p>
            <w:pPr>
              <w:ind w:firstLine="105" w:firstLineChars="50"/>
              <w:jc w:val="center"/>
            </w:pPr>
            <w:r>
              <w:rPr>
                <w:rFonts w:hint="eastAsia" w:asciiTheme="minorEastAsia" w:hAnsiTheme="minorEastAsia" w:cstheme="minorEastAsia"/>
                <w:szCs w:val="21"/>
              </w:rPr>
              <w:t>联合体投标</w:t>
            </w:r>
          </w:p>
        </w:tc>
        <w:tc>
          <w:tcPr>
            <w:tcW w:w="6096" w:type="dxa"/>
            <w:noWrap/>
            <w:vAlign w:val="center"/>
          </w:tcPr>
          <w:p>
            <w:pPr>
              <w:rPr>
                <w:rFonts w:asciiTheme="minorEastAsia" w:hAnsiTheme="minorEastAsia" w:cstheme="minorEastAsia"/>
                <w:strike/>
                <w:color w:val="0000FF"/>
                <w:szCs w:val="21"/>
              </w:rPr>
            </w:pPr>
            <w:r>
              <w:rPr>
                <w:rFonts w:hint="eastAsia" w:asciiTheme="minorEastAsia" w:hAnsiTheme="minorEastAsia" w:cstheme="minor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1770" w:type="dxa"/>
            <w:noWrap/>
            <w:vAlign w:val="center"/>
          </w:tcPr>
          <w:p>
            <w:pPr>
              <w:jc w:val="center"/>
              <w:rPr>
                <w:rFonts w:asciiTheme="minorEastAsia" w:hAnsiTheme="minorEastAsia" w:cstheme="minorEastAsia"/>
                <w:strike/>
                <w:szCs w:val="21"/>
              </w:rPr>
            </w:pPr>
            <w:r>
              <w:rPr>
                <w:rFonts w:hint="eastAsia" w:asciiTheme="minorEastAsia" w:hAnsiTheme="minorEastAsia" w:cstheme="minorEastAsia"/>
                <w:szCs w:val="21"/>
              </w:rPr>
              <w:t>踏勘现场</w:t>
            </w:r>
          </w:p>
        </w:tc>
        <w:tc>
          <w:tcPr>
            <w:tcW w:w="6096" w:type="dxa"/>
            <w:noWrap/>
            <w:vAlign w:val="center"/>
          </w:tcPr>
          <w:p>
            <w:pPr>
              <w:rPr>
                <w:rFonts w:hint="default" w:asciiTheme="minorEastAsia" w:hAnsiTheme="minorEastAsia" w:eastAsiaTheme="minorEastAsia" w:cstheme="minorEastAsia"/>
                <w:strike/>
                <w:szCs w:val="21"/>
                <w:highlight w:val="yellow"/>
                <w:lang w:val="en-US" w:eastAsia="zh-CN"/>
              </w:rPr>
            </w:pPr>
            <w:r>
              <w:rPr>
                <w:rFonts w:hint="eastAsia" w:asciiTheme="minorEastAsia" w:hAnsiTheme="minorEastAsia" w:cstheme="minorEastAsia"/>
                <w:szCs w:val="21"/>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  包</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投标人要求澄清招标文件的时间和方式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截止时间：</w:t>
            </w:r>
            <w:r>
              <w:rPr>
                <w:rFonts w:hint="eastAsia" w:asciiTheme="minorEastAsia" w:hAnsiTheme="minorEastAsia" w:cstheme="minorEastAsia"/>
                <w:szCs w:val="21"/>
                <w:highlight w:val="none"/>
              </w:rPr>
              <w:t>2021年</w:t>
            </w:r>
            <w:r>
              <w:rPr>
                <w:rFonts w:hint="eastAsia" w:asciiTheme="minorEastAsia" w:hAnsiTheme="minorEastAsia" w:cstheme="minorEastAsia"/>
                <w:szCs w:val="21"/>
                <w:highlight w:val="none"/>
                <w:lang w:val="en-US" w:eastAsia="zh-CN"/>
              </w:rPr>
              <w:t>11</w:t>
            </w:r>
            <w:r>
              <w:rPr>
                <w:rFonts w:hint="eastAsia" w:asciiTheme="minorEastAsia" w:hAnsiTheme="minorEastAsia" w:cstheme="minorEastAsia"/>
                <w:szCs w:val="21"/>
                <w:highlight w:val="none"/>
              </w:rPr>
              <w:t>月</w:t>
            </w:r>
            <w:r>
              <w:rPr>
                <w:rFonts w:hint="eastAsia" w:asciiTheme="minorEastAsia" w:hAnsiTheme="minorEastAsia" w:cstheme="minorEastAsia"/>
                <w:szCs w:val="21"/>
                <w:highlight w:val="none"/>
                <w:lang w:val="en-US" w:eastAsia="zh-CN"/>
              </w:rPr>
              <w:t>28</w:t>
            </w:r>
            <w:r>
              <w:rPr>
                <w:rFonts w:hint="eastAsia" w:asciiTheme="minorEastAsia" w:hAnsiTheme="minorEastAsia" w:cstheme="minorEastAsia"/>
                <w:szCs w:val="21"/>
                <w:highlight w:val="none"/>
              </w:rPr>
              <w:t xml:space="preserve">日17时00分 </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投标截止时间</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highlight w:val="none"/>
              </w:rPr>
              <w:t>2021年</w:t>
            </w:r>
            <w:r>
              <w:rPr>
                <w:rFonts w:hint="eastAsia" w:asciiTheme="minorEastAsia" w:hAnsiTheme="minorEastAsia" w:cstheme="minorEastAsia"/>
                <w:szCs w:val="21"/>
                <w:highlight w:val="none"/>
                <w:lang w:val="en-US" w:eastAsia="zh-CN"/>
              </w:rPr>
              <w:t>11</w:t>
            </w:r>
            <w:r>
              <w:rPr>
                <w:rFonts w:hint="eastAsia" w:asciiTheme="minorEastAsia" w:hAnsiTheme="minorEastAsia" w:cstheme="minorEastAsia"/>
                <w:szCs w:val="21"/>
                <w:highlight w:val="none"/>
              </w:rPr>
              <w:t>月</w:t>
            </w:r>
            <w:r>
              <w:rPr>
                <w:rFonts w:hint="eastAsia" w:asciiTheme="minorEastAsia" w:hAnsiTheme="minorEastAsia" w:cstheme="minorEastAsia"/>
                <w:szCs w:val="21"/>
                <w:highlight w:val="none"/>
                <w:lang w:val="en-US" w:eastAsia="zh-CN"/>
              </w:rPr>
              <w:t>30</w:t>
            </w:r>
            <w:r>
              <w:rPr>
                <w:rFonts w:hint="eastAsia" w:asciiTheme="minorEastAsia" w:hAnsiTheme="minorEastAsia" w:cstheme="minorEastAsia"/>
                <w:szCs w:val="21"/>
                <w:highlight w:val="none"/>
              </w:rPr>
              <w:t>日14时00分。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开标时间、地点</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同投标截止时间，开标及投标文件递交地点（我司602会议室）。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澄清和修改</w:t>
            </w:r>
          </w:p>
          <w:p>
            <w:pPr>
              <w:jc w:val="center"/>
              <w:rPr>
                <w:rFonts w:asciiTheme="minorEastAsia" w:hAnsiTheme="minorEastAsia" w:cstheme="minorEastAsia"/>
                <w:szCs w:val="21"/>
              </w:rPr>
            </w:pPr>
            <w:r>
              <w:rPr>
                <w:rFonts w:hint="eastAsia" w:asciiTheme="minorEastAsia" w:hAnsiTheme="minorEastAsia" w:cstheme="minorEastAsia"/>
                <w:szCs w:val="21"/>
              </w:rPr>
              <w:t>招标文件的</w:t>
            </w:r>
          </w:p>
          <w:p>
            <w:pPr>
              <w:jc w:val="center"/>
              <w:rPr>
                <w:rFonts w:asciiTheme="minorEastAsia" w:hAnsiTheme="minorEastAsia" w:cstheme="minorEastAsia"/>
                <w:szCs w:val="21"/>
              </w:rPr>
            </w:pPr>
            <w:r>
              <w:rPr>
                <w:rFonts w:hint="eastAsia" w:asciiTheme="minorEastAsia" w:hAnsiTheme="minorEastAsia" w:cstheme="minorEastAsia"/>
                <w:szCs w:val="21"/>
              </w:rPr>
              <w:t>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是否允许递交备选投标方案</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签字和（或）盖章要求</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投标文件份数</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中标单位在领取中标通知书之前，需提供三套完整的纸质投标文件用于备案。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装订要求</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是否退还投标</w:t>
            </w:r>
          </w:p>
          <w:p>
            <w:pPr>
              <w:jc w:val="center"/>
              <w:rPr>
                <w:rFonts w:asciiTheme="minorEastAsia" w:hAnsiTheme="minorEastAsia" w:cstheme="minorEastAsia"/>
                <w:szCs w:val="21"/>
              </w:rPr>
            </w:pPr>
            <w:r>
              <w:rPr>
                <w:rFonts w:hint="eastAsia" w:asciiTheme="minorEastAsia" w:hAnsiTheme="minorEastAsia" w:cstheme="minorEastAsia"/>
                <w:szCs w:val="21"/>
              </w:rPr>
              <w:t>文件</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评标委员会的      组建</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评标委员会由招标人</w:t>
            </w:r>
            <w:r>
              <w:rPr>
                <w:rFonts w:hint="eastAsia" w:asciiTheme="minorEastAsia" w:hAnsiTheme="minorEastAsia" w:cstheme="minorEastAsia"/>
                <w:szCs w:val="21"/>
                <w:highlight w:val="none"/>
                <w:lang w:eastAsia="zh-CN"/>
              </w:rPr>
              <w:t>项目</w:t>
            </w:r>
            <w:r>
              <w:rPr>
                <w:rFonts w:hint="eastAsia" w:asciiTheme="minorEastAsia" w:hAnsiTheme="minorEastAsia" w:cstheme="minorEastAsia"/>
                <w:szCs w:val="21"/>
                <w:highlight w:val="none"/>
              </w:rPr>
              <w:t>前期部、</w:t>
            </w:r>
            <w:r>
              <w:rPr>
                <w:rFonts w:hint="eastAsia" w:asciiTheme="minorEastAsia" w:hAnsiTheme="minorEastAsia" w:cstheme="minorEastAsia"/>
                <w:szCs w:val="21"/>
                <w:highlight w:val="none"/>
                <w:lang w:eastAsia="zh-CN"/>
              </w:rPr>
              <w:t>造价评审</w:t>
            </w:r>
            <w:r>
              <w:rPr>
                <w:rFonts w:hint="eastAsia" w:asciiTheme="minorEastAsia" w:hAnsiTheme="minorEastAsia" w:cstheme="minorEastAsia"/>
                <w:szCs w:val="21"/>
                <w:highlight w:val="none"/>
              </w:rPr>
              <w:t>部、工程</w:t>
            </w:r>
            <w:r>
              <w:rPr>
                <w:rFonts w:hint="eastAsia" w:asciiTheme="minorEastAsia" w:hAnsiTheme="minorEastAsia" w:cstheme="minorEastAsia"/>
                <w:szCs w:val="21"/>
                <w:highlight w:val="none"/>
                <w:lang w:eastAsia="zh-CN"/>
              </w:rPr>
              <w:t>管理</w:t>
            </w:r>
            <w:r>
              <w:rPr>
                <w:rFonts w:hint="eastAsia" w:asciiTheme="minorEastAsia" w:hAnsiTheme="minorEastAsia" w:cstheme="minorEastAsia"/>
                <w:szCs w:val="21"/>
                <w:highlight w:val="none"/>
              </w:rPr>
              <w:t>部组成，</w:t>
            </w:r>
            <w:r>
              <w:rPr>
                <w:rFonts w:hint="eastAsia" w:asciiTheme="minorEastAsia" w:hAnsiTheme="minorEastAsia" w:cstheme="minorEastAsia"/>
                <w:szCs w:val="21"/>
              </w:rPr>
              <w:t>并接受</w:t>
            </w:r>
            <w:r>
              <w:rPr>
                <w:rFonts w:hint="eastAsia" w:asciiTheme="minorEastAsia" w:hAnsiTheme="minorEastAsia" w:cstheme="minorEastAsia"/>
                <w:szCs w:val="21"/>
                <w:lang w:eastAsia="zh-CN"/>
              </w:rPr>
              <w:t>纪检监察部的</w:t>
            </w:r>
            <w:r>
              <w:rPr>
                <w:rFonts w:hint="eastAsia" w:asciiTheme="minorEastAsia" w:hAnsiTheme="minorEastAsia" w:cstheme="minorEastAsia"/>
                <w:szCs w:val="21"/>
              </w:rPr>
              <w:t>现场监督，当场唱标登记。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中标候选人排序和确定中标人方式</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根据投标人报价确定排序，投标报价最低者为第一名，确定为中标单位。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履约担保</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履约保证金为中标金额的10%，当中标金额低于最高投标限价10%以上的，履约保证金为最高投标限价减去中标合同金额后的差额。履约保证金自中标通知书发出之日起5个工作日内缴纳，否则招标人有权没收其投标保证金，并可重新招标或根据本次中标候选人排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w:t>
            </w:r>
          </w:p>
        </w:tc>
        <w:tc>
          <w:tcPr>
            <w:tcW w:w="6096" w:type="dxa"/>
            <w:noWrap/>
            <w:vAlign w:val="center"/>
          </w:tcPr>
          <w:p>
            <w:pPr>
              <w:pStyle w:val="18"/>
              <w:spacing w:line="320" w:lineRule="exact"/>
              <w:rPr>
                <w:rFonts w:asciiTheme="minorEastAsia" w:hAnsiTheme="minorEastAsia" w:cstheme="minorEastAsia"/>
                <w:b/>
                <w:bCs/>
                <w:color w:val="0000FF"/>
                <w:szCs w:val="21"/>
              </w:rPr>
            </w:pPr>
            <w:r>
              <w:rPr>
                <w:rFonts w:hint="eastAsia" w:asciiTheme="minorEastAsia" w:hAnsiTheme="minorEastAsia" w:cstheme="minorEastAsia"/>
              </w:rPr>
              <w:t>投标预算清单须采用广联达软件进行编制</w:t>
            </w:r>
            <w:r>
              <w:rPr>
                <w:rFonts w:hint="eastAsia" w:asciiTheme="minorEastAsia" w:hAnsiTheme="minorEastAsia" w:cstheme="minorEastAsia"/>
                <w:szCs w:val="21"/>
              </w:rPr>
              <w:t xml:space="preserve">，投标人根据图纸及财评预算清单进行报价，编制投标预算清单，报价文件中总价和各子项单价均不得超过财评清单金额，工程量以财评预算清单为准，投标人不得擅自更改；总价报价最低者确定为中标单位。 </w:t>
            </w:r>
          </w:p>
          <w:p>
            <w:pPr>
              <w:pStyle w:val="18"/>
              <w:spacing w:line="320" w:lineRule="exact"/>
              <w:rPr>
                <w:rFonts w:asciiTheme="minorEastAsia" w:hAnsiTheme="minorEastAsia" w:cstheme="minorEastAsia"/>
              </w:rPr>
            </w:pPr>
            <w:bookmarkStart w:id="3" w:name="_Hlk67243980"/>
            <w:r>
              <w:rPr>
                <w:rFonts w:hint="eastAsia" w:asciiTheme="minorEastAsia" w:hAnsiTheme="minorEastAsia" w:cstheme="minorEastAsia"/>
              </w:rPr>
              <w:t>因投标人采取改动、缩减招标清单工程量等手段，恶意低价中标，招标人有权要求投标人按中标价包干完成招标清单中所有工程量，否则，招标人有权取消合同并没收履约保证金。</w:t>
            </w:r>
          </w:p>
          <w:p>
            <w:pPr>
              <w:pStyle w:val="18"/>
              <w:spacing w:line="320" w:lineRule="exact"/>
              <w:rPr>
                <w:rFonts w:asciiTheme="minorEastAsia" w:hAnsiTheme="minorEastAsia" w:cstheme="minorEastAsia"/>
                <w:strike/>
                <w:color w:val="FF0000"/>
              </w:rPr>
            </w:pPr>
            <w:r>
              <w:rPr>
                <w:rFonts w:hint="eastAsia" w:asciiTheme="minorEastAsia" w:hAnsiTheme="minorEastAsia" w:cstheme="minorEastAsia"/>
              </w:rPr>
              <w:t>清单外新增工程量经招标人核定后现场签证计量或进行设计变更，</w:t>
            </w:r>
            <w:bookmarkEnd w:id="3"/>
            <w:r>
              <w:rPr>
                <w:rFonts w:hint="eastAsia" w:asciiTheme="minorEastAsia" w:hAnsiTheme="minorEastAsia" w:cstheme="minorEastAsia"/>
              </w:rPr>
              <w:t>费用按投标人的综合下浮比例下浮后评审确定。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是否要求投标人在递交电子投标文件时</w:t>
            </w:r>
          </w:p>
        </w:tc>
        <w:tc>
          <w:tcPr>
            <w:tcW w:w="6096" w:type="dxa"/>
            <w:noWrap/>
            <w:vAlign w:val="center"/>
          </w:tcPr>
          <w:p>
            <w:pPr>
              <w:rPr>
                <w:rFonts w:asciiTheme="minorEastAsia" w:hAnsiTheme="minorEastAsia" w:cstheme="minorEastAsia"/>
                <w:color w:val="0000FF"/>
                <w:szCs w:val="21"/>
              </w:rPr>
            </w:pPr>
            <w:r>
              <w:rPr>
                <w:rFonts w:hint="eastAsia" w:asciiTheme="minorEastAsia" w:hAnsiTheme="minorEastAsia" w:cstheme="minorEastAsia"/>
                <w:szCs w:val="21"/>
              </w:rPr>
              <w:t>中标人需提供投标文件电子版一套。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18</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中标公示</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中标候选人在招标人官网公示，公示期不少于3个工作日。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19</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监  督</w:t>
            </w:r>
          </w:p>
        </w:tc>
        <w:tc>
          <w:tcPr>
            <w:tcW w:w="6096" w:type="dxa"/>
            <w:noWrap/>
            <w:vAlign w:val="center"/>
          </w:tcPr>
          <w:p>
            <w:pPr>
              <w:ind w:left="-103" w:leftChars="-49" w:firstLine="422" w:firstLineChars="201"/>
              <w:rPr>
                <w:rFonts w:asciiTheme="minorEastAsia" w:hAnsiTheme="minorEastAsia" w:cstheme="minorEastAsia"/>
                <w:color w:val="0000FF"/>
                <w:szCs w:val="21"/>
              </w:rPr>
            </w:pPr>
            <w:r>
              <w:rPr>
                <w:rFonts w:hint="eastAsia" w:asciiTheme="minorEastAsia" w:hAnsiTheme="minorEastAsia" w:cstheme="minorEastAsia"/>
                <w:szCs w:val="21"/>
              </w:rPr>
              <w:t>本项目的招标投标活动及其相关当事人接受有管辖权的建设工程招标投标行政监督部门依法实施的监督。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rPr>
              <w:t>其它</w:t>
            </w:r>
          </w:p>
        </w:tc>
        <w:tc>
          <w:tcPr>
            <w:tcW w:w="6096" w:type="dxa"/>
            <w:noWrap/>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中标人须自觉接受招标人公司现行管理制度。</w:t>
            </w:r>
          </w:p>
        </w:tc>
      </w:tr>
    </w:tbl>
    <w:p/>
    <w:p>
      <w:pPr>
        <w:pStyle w:val="2"/>
      </w:pPr>
    </w:p>
    <w:p>
      <w:pPr>
        <w:pStyle w:val="2"/>
      </w:pPr>
    </w:p>
    <w:p>
      <w:pPr>
        <w:pStyle w:val="2"/>
      </w:pPr>
    </w:p>
    <w:p>
      <w:pPr>
        <w:pStyle w:val="2"/>
      </w:pPr>
    </w:p>
    <w:p>
      <w:pPr>
        <w:pStyle w:val="2"/>
        <w:sectPr>
          <w:footerReference r:id="rId5" w:type="default"/>
          <w:pgSz w:w="11906" w:h="16838"/>
          <w:pgMar w:top="1440" w:right="1800" w:bottom="1440" w:left="1800" w:header="851" w:footer="992" w:gutter="0"/>
          <w:pgNumType w:fmt="decimal" w:start="1"/>
          <w:cols w:space="425" w:num="1"/>
          <w:docGrid w:type="lines" w:linePitch="312" w:charSpace="0"/>
        </w:sectPr>
      </w:pPr>
    </w:p>
    <w:p>
      <w:pPr>
        <w:spacing w:line="700" w:lineRule="exact"/>
        <w:jc w:val="both"/>
        <w:outlineLvl w:val="0"/>
        <w:rPr>
          <w:rFonts w:asciiTheme="minorEastAsia" w:hAnsiTheme="minorEastAsia" w:cstheme="minorEastAsia"/>
          <w:b/>
          <w:bCs/>
          <w:sz w:val="40"/>
          <w:szCs w:val="40"/>
        </w:rPr>
      </w:pPr>
    </w:p>
    <w:p>
      <w:pPr>
        <w:widowControl/>
        <w:jc w:val="center"/>
        <w:outlineLvl w:val="0"/>
        <w:rPr>
          <w:rFonts w:asciiTheme="minorEastAsia" w:hAnsiTheme="minorEastAsia" w:cstheme="minorEastAsia"/>
          <w:b/>
          <w:sz w:val="36"/>
          <w:szCs w:val="36"/>
        </w:rPr>
      </w:pPr>
      <w:r>
        <w:rPr>
          <w:rFonts w:hint="eastAsia" w:asciiTheme="minorEastAsia" w:hAnsiTheme="minorEastAsia" w:cstheme="minorEastAsia"/>
          <w:b/>
          <w:sz w:val="36"/>
          <w:szCs w:val="36"/>
        </w:rPr>
        <w:t>第三章  合同文本</w:t>
      </w:r>
    </w:p>
    <w:p>
      <w:pPr>
        <w:pStyle w:val="3"/>
        <w:rPr>
          <w:rFonts w:asciiTheme="minorEastAsia" w:hAnsiTheme="minorEastAsia" w:cstheme="minorEastAsia"/>
          <w:sz w:val="32"/>
          <w:szCs w:val="32"/>
        </w:rPr>
      </w:pPr>
    </w:p>
    <w:p>
      <w:pPr>
        <w:pStyle w:val="7"/>
        <w:spacing w:line="360" w:lineRule="auto"/>
        <w:rPr>
          <w:rFonts w:asciiTheme="minorEastAsia" w:hAnsiTheme="minorEastAsia" w:eastAsiaTheme="minorEastAsia" w:cstheme="minorEastAsia"/>
          <w:b/>
          <w:color w:val="000000"/>
          <w:szCs w:val="18"/>
        </w:rPr>
      </w:pPr>
    </w:p>
    <w:p>
      <w:pPr>
        <w:pStyle w:val="7"/>
        <w:spacing w:line="360" w:lineRule="auto"/>
        <w:rPr>
          <w:rFonts w:asciiTheme="minorEastAsia" w:hAnsiTheme="minorEastAsia" w:eastAsiaTheme="minorEastAsia" w:cstheme="minorEastAsia"/>
          <w:b/>
          <w:color w:val="000000"/>
          <w:sz w:val="36"/>
        </w:rPr>
      </w:pPr>
    </w:p>
    <w:p>
      <w:pPr>
        <w:spacing w:line="700" w:lineRule="exact"/>
        <w:jc w:val="center"/>
        <w:outlineLvl w:val="0"/>
        <w:rPr>
          <w:rFonts w:asciiTheme="minorEastAsia" w:hAnsiTheme="minorEastAsia" w:cstheme="minorEastAsia"/>
          <w:b w:val="0"/>
          <w:bCs w:val="0"/>
          <w:spacing w:val="-20"/>
          <w:sz w:val="40"/>
          <w:szCs w:val="40"/>
        </w:rPr>
      </w:pPr>
      <w:r>
        <w:rPr>
          <w:rFonts w:hint="eastAsia" w:asciiTheme="minorEastAsia" w:hAnsiTheme="minorEastAsia" w:cstheme="minorEastAsia"/>
          <w:b w:val="0"/>
          <w:bCs w:val="0"/>
          <w:spacing w:val="-20"/>
          <w:sz w:val="40"/>
          <w:szCs w:val="40"/>
        </w:rPr>
        <w:t>岳阳城陵矶新港区老管委会屋顶分布式光伏发电项目</w:t>
      </w:r>
    </w:p>
    <w:p>
      <w:pPr>
        <w:pStyle w:val="5"/>
        <w:widowControl/>
        <w:spacing w:before="0" w:after="0" w:line="360" w:lineRule="auto"/>
        <w:jc w:val="both"/>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rPr>
      </w:pPr>
      <w:r>
        <w:rPr>
          <w:rFonts w:hint="eastAsia" w:asciiTheme="minorEastAsia" w:hAnsiTheme="minorEastAsia" w:eastAsiaTheme="minorEastAsia" w:cstheme="minorEastAsia"/>
          <w:b w:val="0"/>
          <w:bCs w:val="0"/>
          <w:spacing w:val="-15"/>
          <w:sz w:val="36"/>
          <w:szCs w:val="36"/>
          <w:shd w:val="clear" w:color="auto" w:fill="FFFFFF"/>
        </w:rPr>
        <w:t>施工合同</w:t>
      </w: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color w:val="000000"/>
          <w:sz w:val="48"/>
        </w:rPr>
      </w:pPr>
    </w:p>
    <w:p>
      <w:pPr>
        <w:spacing w:line="360" w:lineRule="auto"/>
        <w:jc w:val="both"/>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700" w:lineRule="exact"/>
        <w:ind w:left="2100" w:hanging="2100" w:hangingChars="700"/>
        <w:jc w:val="left"/>
        <w:outlineLvl w:val="0"/>
        <w:rPr>
          <w:rFonts w:asciiTheme="minorEastAsia" w:hAnsiTheme="minorEastAsia" w:cstheme="minorEastAsia"/>
          <w:color w:val="000000"/>
          <w:sz w:val="32"/>
          <w:szCs w:val="32"/>
          <w:u w:val="single"/>
        </w:rPr>
      </w:pPr>
      <w:r>
        <w:rPr>
          <w:rFonts w:hint="eastAsia" w:asciiTheme="minorEastAsia" w:hAnsiTheme="minorEastAsia" w:cstheme="minorEastAsia"/>
          <w:color w:val="000000"/>
          <w:sz w:val="30"/>
          <w:lang w:val="en-US" w:eastAsia="zh-CN"/>
        </w:rPr>
        <w:t xml:space="preserve">    </w:t>
      </w:r>
      <w:r>
        <w:rPr>
          <w:rFonts w:hint="eastAsia" w:asciiTheme="minorEastAsia" w:hAnsiTheme="minorEastAsia" w:cstheme="minorEastAsia"/>
          <w:color w:val="000000"/>
          <w:sz w:val="30"/>
        </w:rPr>
        <w:t>工程名称：</w:t>
      </w:r>
      <w:r>
        <w:rPr>
          <w:rFonts w:hint="eastAsia" w:asciiTheme="minorEastAsia" w:hAnsiTheme="minorEastAsia" w:cstheme="minorEastAsia"/>
          <w:color w:val="000000"/>
          <w:sz w:val="30"/>
          <w:u w:val="single"/>
          <w:lang w:eastAsia="zh-CN"/>
        </w:rPr>
        <w:t>岳阳城陵矶新港区老管委会屋顶分布式光伏发电项目</w:t>
      </w:r>
    </w:p>
    <w:p>
      <w:pPr>
        <w:spacing w:line="360" w:lineRule="auto"/>
        <w:ind w:firstLine="560" w:firstLineChars="200"/>
        <w:rPr>
          <w:rFonts w:asciiTheme="minorEastAsia" w:hAnsiTheme="minorEastAsia" w:cstheme="minorEastAsia"/>
          <w:color w:val="000000"/>
          <w:sz w:val="28"/>
          <w:u w:val="single"/>
        </w:rPr>
      </w:pPr>
      <w:r>
        <w:rPr>
          <w:rFonts w:hint="eastAsia" w:asciiTheme="minorEastAsia" w:hAnsiTheme="minorEastAsia" w:cstheme="minorEastAsia"/>
          <w:color w:val="000000"/>
          <w:sz w:val="28"/>
        </w:rPr>
        <w:t>工程地点：</w:t>
      </w:r>
      <w:r>
        <w:rPr>
          <w:rFonts w:hint="eastAsia" w:asciiTheme="minorEastAsia" w:hAnsiTheme="minorEastAsia" w:cstheme="minorEastAsia"/>
          <w:color w:val="000000"/>
          <w:sz w:val="28"/>
          <w:u w:val="single"/>
        </w:rPr>
        <w:t>湖南城陵矶新港区</w:t>
      </w:r>
      <w:r>
        <w:rPr>
          <w:rFonts w:hint="eastAsia" w:asciiTheme="minorEastAsia" w:hAnsiTheme="minorEastAsia" w:cstheme="minorEastAsia"/>
          <w:color w:val="000000"/>
          <w:sz w:val="30"/>
          <w:u w:val="single"/>
          <w:lang w:eastAsia="zh-CN"/>
        </w:rPr>
        <w:t>老管委会</w:t>
      </w:r>
      <w:r>
        <w:rPr>
          <w:rFonts w:hint="eastAsia" w:asciiTheme="minorEastAsia" w:hAnsiTheme="minorEastAsia" w:cstheme="minorEastAsia"/>
          <w:color w:val="000000"/>
          <w:sz w:val="28"/>
          <w:u w:val="single"/>
        </w:rPr>
        <w:t xml:space="preserve">            </w:t>
      </w:r>
      <w:r>
        <w:rPr>
          <w:rFonts w:hint="eastAsia" w:asciiTheme="minorEastAsia" w:hAnsiTheme="minorEastAsia" w:cstheme="minorEastAsia"/>
          <w:color w:val="000000"/>
          <w:sz w:val="28"/>
          <w:u w:val="single"/>
          <w:lang w:val="en-US" w:eastAsia="zh-CN"/>
        </w:rPr>
        <w:t xml:space="preserve"> </w:t>
      </w:r>
      <w:r>
        <w:rPr>
          <w:rFonts w:hint="eastAsia" w:asciiTheme="minorEastAsia" w:hAnsiTheme="minorEastAsia" w:cstheme="minorEastAsia"/>
          <w:color w:val="000000"/>
          <w:sz w:val="28"/>
          <w:u w:val="single"/>
        </w:rPr>
        <w:t xml:space="preserve">  </w:t>
      </w:r>
    </w:p>
    <w:p>
      <w:pPr>
        <w:spacing w:line="360" w:lineRule="auto"/>
        <w:ind w:firstLine="560" w:firstLineChars="200"/>
        <w:rPr>
          <w:rFonts w:asciiTheme="minorEastAsia" w:hAnsiTheme="minorEastAsia" w:cstheme="minorEastAsia"/>
          <w:color w:val="808080"/>
          <w:sz w:val="28"/>
          <w:u w:val="single"/>
        </w:rPr>
      </w:pPr>
      <w:r>
        <w:rPr>
          <w:rFonts w:hint="eastAsia" w:asciiTheme="minorEastAsia" w:hAnsiTheme="minorEastAsia" w:cstheme="minorEastAsia"/>
          <w:color w:val="000000"/>
          <w:sz w:val="28"/>
        </w:rPr>
        <w:t>建设单位：</w:t>
      </w:r>
      <w:r>
        <w:rPr>
          <w:rFonts w:hint="eastAsia" w:asciiTheme="minorEastAsia" w:hAnsiTheme="minorEastAsia" w:cstheme="minorEastAsia"/>
          <w:color w:val="000000"/>
          <w:sz w:val="28"/>
          <w:u w:val="single"/>
        </w:rPr>
        <w:t xml:space="preserve">湖南临港开发投资集团有限公司           </w:t>
      </w: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r>
        <w:rPr>
          <w:rFonts w:hint="eastAsia" w:asciiTheme="minorEastAsia" w:hAnsiTheme="minorEastAsia" w:cstheme="minorEastAsia"/>
          <w:color w:val="000000"/>
          <w:sz w:val="36"/>
        </w:rPr>
        <w:br w:type="page"/>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甲方：</w:t>
      </w:r>
      <w:r>
        <w:rPr>
          <w:rFonts w:hint="eastAsia" w:asciiTheme="minorEastAsia" w:hAnsiTheme="minorEastAsia" w:cstheme="minorEastAsia"/>
          <w:sz w:val="28"/>
          <w:szCs w:val="28"/>
          <w:u w:val="single"/>
        </w:rPr>
        <w:t xml:space="preserve">  湖南临港开发投资集团有限公司    </w:t>
      </w:r>
    </w:p>
    <w:p>
      <w:pPr>
        <w:adjustRightInd w:val="0"/>
        <w:snapToGrid w:val="0"/>
        <w:spacing w:line="360" w:lineRule="auto"/>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cstheme="minorEastAsia"/>
          <w:sz w:val="28"/>
          <w:szCs w:val="28"/>
        </w:rPr>
        <w:t>乙方：</w:t>
      </w:r>
      <w:r>
        <w:rPr>
          <w:rFonts w:hint="eastAsia" w:asciiTheme="minorEastAsia" w:hAnsiTheme="minorEastAsia" w:cstheme="minorEastAsia"/>
          <w:sz w:val="28"/>
          <w:szCs w:val="28"/>
          <w:u w:val="single"/>
          <w:lang w:val="en-US" w:eastAsia="zh-CN"/>
        </w:rPr>
        <w:t xml:space="preserve">                                  </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highlight w:val="none"/>
          <w:u w:val="single"/>
        </w:rPr>
        <w:t>2021年</w:t>
      </w:r>
      <w:r>
        <w:rPr>
          <w:rFonts w:hint="eastAsia" w:asciiTheme="minorEastAsia" w:hAnsiTheme="minorEastAsia" w:cstheme="minorEastAsia"/>
          <w:sz w:val="28"/>
          <w:szCs w:val="28"/>
          <w:highlight w:val="none"/>
          <w:u w:val="single"/>
          <w:lang w:val="en-US" w:eastAsia="zh-CN"/>
        </w:rPr>
        <w:t xml:space="preserve">  </w:t>
      </w:r>
      <w:r>
        <w:rPr>
          <w:rFonts w:hint="eastAsia" w:asciiTheme="minorEastAsia" w:hAnsiTheme="minorEastAsia" w:cstheme="minorEastAsia"/>
          <w:sz w:val="28"/>
          <w:szCs w:val="28"/>
          <w:highlight w:val="none"/>
          <w:u w:val="single"/>
        </w:rPr>
        <w:t>月</w:t>
      </w:r>
      <w:r>
        <w:rPr>
          <w:rFonts w:hint="eastAsia" w:asciiTheme="minorEastAsia" w:hAnsiTheme="minorEastAsia" w:cstheme="minorEastAsia"/>
          <w:sz w:val="28"/>
          <w:szCs w:val="28"/>
          <w:highlight w:val="none"/>
          <w:u w:val="single"/>
          <w:lang w:val="en-US" w:eastAsia="zh-CN"/>
        </w:rPr>
        <w:t xml:space="preserve">  </w:t>
      </w:r>
      <w:r>
        <w:rPr>
          <w:rFonts w:hint="eastAsia" w:asciiTheme="minorEastAsia" w:hAnsiTheme="minorEastAsia" w:cstheme="minorEastAsia"/>
          <w:sz w:val="28"/>
          <w:szCs w:val="28"/>
          <w:highlight w:val="none"/>
          <w:u w:val="single"/>
        </w:rPr>
        <w:t>日</w:t>
      </w:r>
      <w:r>
        <w:rPr>
          <w:rFonts w:hint="eastAsia" w:asciiTheme="minorEastAsia" w:hAnsiTheme="minorEastAsia" w:cstheme="minorEastAsia"/>
          <w:sz w:val="28"/>
          <w:szCs w:val="28"/>
          <w:highlight w:val="none"/>
        </w:rPr>
        <w:t>经我司依法招标，确定乙方为</w:t>
      </w:r>
      <w:r>
        <w:rPr>
          <w:rFonts w:hint="eastAsia" w:asciiTheme="minorEastAsia" w:hAnsiTheme="minorEastAsia" w:cstheme="minorEastAsia"/>
          <w:sz w:val="28"/>
          <w:szCs w:val="28"/>
          <w:highlight w:val="none"/>
          <w:lang w:eastAsia="zh-CN"/>
        </w:rPr>
        <w:t>岳阳城陵矶新港区老管委会屋顶分布式光伏发电项目</w:t>
      </w:r>
      <w:r>
        <w:rPr>
          <w:rFonts w:hint="eastAsia" w:asciiTheme="minorEastAsia" w:hAnsiTheme="minorEastAsia" w:cstheme="minorEastAsia"/>
          <w:sz w:val="28"/>
          <w:szCs w:val="28"/>
          <w:highlight w:val="none"/>
        </w:rPr>
        <w:t>施工单位，现</w:t>
      </w:r>
      <w:r>
        <w:rPr>
          <w:rFonts w:hint="eastAsia" w:asciiTheme="minorEastAsia" w:hAnsiTheme="minorEastAsia" w:cstheme="minorEastAsia"/>
          <w:sz w:val="28"/>
          <w:szCs w:val="28"/>
        </w:rPr>
        <w:t>依照相关法律、法规，遵循平等、自愿、公平和诚实信用原则，签订本合同。</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一、工程概况</w:t>
      </w:r>
    </w:p>
    <w:p>
      <w:pPr>
        <w:adjustRightInd w:val="0"/>
        <w:snapToGrid w:val="0"/>
        <w:spacing w:line="360" w:lineRule="auto"/>
        <w:ind w:firstLine="560" w:firstLineChars="200"/>
        <w:rPr>
          <w:rFonts w:asciiTheme="minorEastAsia" w:hAnsiTheme="minorEastAsia" w:cstheme="minorEastAsia"/>
          <w:b/>
          <w:color w:val="000000"/>
          <w:sz w:val="28"/>
          <w:szCs w:val="28"/>
          <w:u w:val="single"/>
        </w:rPr>
      </w:pPr>
      <w:r>
        <w:rPr>
          <w:rFonts w:hint="eastAsia" w:asciiTheme="minorEastAsia" w:hAnsiTheme="minorEastAsia" w:cstheme="minorEastAsia"/>
          <w:sz w:val="28"/>
          <w:szCs w:val="28"/>
        </w:rPr>
        <w:t>1.1 项目名称：</w:t>
      </w:r>
      <w:r>
        <w:rPr>
          <w:rFonts w:hint="eastAsia" w:asciiTheme="minorEastAsia" w:hAnsiTheme="minorEastAsia" w:cstheme="minorEastAsia"/>
          <w:color w:val="000000"/>
          <w:sz w:val="30"/>
          <w:u w:val="single"/>
          <w:lang w:eastAsia="zh-CN"/>
        </w:rPr>
        <w:t>岳阳城陵矶新港区老管委会屋顶分布式光伏发电项目</w:t>
      </w:r>
      <w:r>
        <w:rPr>
          <w:rFonts w:hint="eastAsia" w:asciiTheme="minorEastAsia" w:hAnsiTheme="minorEastAsia" w:cstheme="minorEastAsia"/>
          <w:sz w:val="28"/>
          <w:szCs w:val="28"/>
          <w:u w:val="single"/>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 建设地点</w:t>
      </w:r>
      <w:r>
        <w:rPr>
          <w:rFonts w:hint="eastAsia" w:asciiTheme="minorEastAsia" w:hAnsiTheme="minorEastAsia" w:cstheme="minorEastAsia"/>
          <w:sz w:val="28"/>
          <w:szCs w:val="28"/>
          <w:u w:val="single"/>
        </w:rPr>
        <w:t>：湖南城陵矶新港区</w:t>
      </w:r>
      <w:r>
        <w:rPr>
          <w:rFonts w:hint="eastAsia" w:asciiTheme="minorEastAsia" w:hAnsiTheme="minorEastAsia" w:cstheme="minorEastAsia"/>
          <w:sz w:val="28"/>
          <w:szCs w:val="28"/>
          <w:u w:val="single"/>
          <w:lang w:eastAsia="zh-CN"/>
        </w:rPr>
        <w:t>老管委会</w:t>
      </w:r>
      <w:r>
        <w:rPr>
          <w:rFonts w:hint="eastAsia" w:asciiTheme="minorEastAsia" w:hAnsiTheme="minorEastAsia" w:cstheme="minorEastAsia"/>
          <w:sz w:val="28"/>
          <w:szCs w:val="28"/>
          <w:u w:val="single"/>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 工程承包范围：</w:t>
      </w:r>
      <w:r>
        <w:rPr>
          <w:rFonts w:hint="eastAsia" w:asciiTheme="minorEastAsia" w:hAnsiTheme="minorEastAsia" w:cstheme="minorEastAsia"/>
          <w:sz w:val="28"/>
          <w:szCs w:val="28"/>
          <w:highlight w:val="none"/>
          <w:lang w:eastAsia="zh-CN"/>
        </w:rPr>
        <w:t>岳阳城陵矶新港区老管委会屋顶分布式光伏发电项目</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具体施工内容以施工图和工程量清单为准）。</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二、合同期限</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2.1开工日期：</w:t>
      </w:r>
      <w:r>
        <w:rPr>
          <w:rFonts w:hint="eastAsia" w:asciiTheme="minorEastAsia" w:hAnsiTheme="minorEastAsia" w:cstheme="minorEastAsia"/>
          <w:sz w:val="28"/>
          <w:szCs w:val="28"/>
          <w:u w:val="single"/>
        </w:rPr>
        <w:t xml:space="preserve">  2021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2.2竣工日期：</w:t>
      </w:r>
      <w:r>
        <w:rPr>
          <w:rFonts w:hint="eastAsia" w:asciiTheme="minorEastAsia" w:hAnsiTheme="minorEastAsia" w:cstheme="minorEastAsia"/>
          <w:sz w:val="28"/>
          <w:szCs w:val="28"/>
          <w:u w:val="single"/>
        </w:rPr>
        <w:t xml:space="preserve">  2021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rPr>
        <w:t>2.3缺陷责任期：自工程竣工验收合格之日起</w:t>
      </w:r>
      <w:r>
        <w:rPr>
          <w:rFonts w:hint="eastAsia" w:asciiTheme="minorEastAsia" w:hAnsiTheme="minorEastAsia" w:cstheme="minorEastAsia"/>
          <w:sz w:val="28"/>
          <w:szCs w:val="28"/>
          <w:highlight w:val="none"/>
          <w:u w:val="single"/>
        </w:rPr>
        <w:t>12个月</w:t>
      </w:r>
      <w:r>
        <w:rPr>
          <w:rFonts w:hint="eastAsia" w:asciiTheme="minorEastAsia" w:hAnsiTheme="minorEastAsia" w:cstheme="minorEastAsia"/>
          <w:sz w:val="28"/>
          <w:szCs w:val="28"/>
          <w:highlight w:val="none"/>
        </w:rPr>
        <w:t>。</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三、质量标准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3.1施工要求的质量标准：满足设计要求，符合《建筑工程施工质量统一验收标准》及相关技术标准、验收规定；</w:t>
      </w:r>
    </w:p>
    <w:p>
      <w:pPr>
        <w:adjustRightInd w:val="0"/>
        <w:snapToGrid w:val="0"/>
        <w:spacing w:line="360" w:lineRule="auto"/>
        <w:ind w:firstLine="560" w:firstLineChars="200"/>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rPr>
        <w:t>3.2设备及材料采购部分质量标准：符合国家、行业及地方现行相关法律法规、规范及技术标准，主要设备须采用行业知名品牌</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highlight w:val="none"/>
          <w:lang w:eastAsia="zh-CN"/>
        </w:rPr>
        <w:t>光伏组件品牌须采用天合光能、尚德电力、阿特斯、协鑫集成、晶科中任一品牌；逆变器品牌须采用华为、阳光电源、特变电工、上能、科士达中任一品牌。</w:t>
      </w:r>
    </w:p>
    <w:p>
      <w:pPr>
        <w:spacing w:line="360" w:lineRule="auto"/>
        <w:ind w:firstLine="560" w:firstLineChars="200"/>
        <w:rPr>
          <w:rFonts w:asciiTheme="minorEastAsia" w:hAnsiTheme="minorEastAsia" w:cstheme="minorEastAsia"/>
          <w:sz w:val="28"/>
          <w:szCs w:val="28"/>
        </w:rPr>
      </w:pP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四、合同金额及支付方式</w:t>
      </w:r>
    </w:p>
    <w:p>
      <w:pPr>
        <w:adjustRightInd w:val="0"/>
        <w:snapToGrid w:val="0"/>
        <w:spacing w:line="360" w:lineRule="auto"/>
        <w:ind w:firstLine="560" w:firstLineChars="200"/>
        <w:rPr>
          <w:rFonts w:hint="eastAsia" w:ascii="宋体" w:hAnsi="宋体" w:cs="宋体"/>
          <w:sz w:val="28"/>
          <w:szCs w:val="28"/>
        </w:rPr>
      </w:pPr>
      <w:r>
        <w:rPr>
          <w:rFonts w:hint="eastAsia" w:asciiTheme="minorEastAsia" w:hAnsiTheme="minorEastAsia" w:cstheme="minorEastAsia"/>
          <w:sz w:val="28"/>
          <w:szCs w:val="28"/>
        </w:rPr>
        <w:t>4.1合同金额：合同价格为人民币：</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小</w:t>
      </w:r>
      <w:r>
        <w:rPr>
          <w:rFonts w:hint="eastAsia" w:asciiTheme="minorEastAsia" w:hAnsiTheme="minorEastAsia" w:cstheme="minorEastAsia"/>
          <w:sz w:val="28"/>
          <w:szCs w:val="28"/>
        </w:rPr>
        <w:t>写：</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元)；</w:t>
      </w:r>
      <w:r>
        <w:rPr>
          <w:rFonts w:hint="eastAsia" w:ascii="宋体" w:hAnsi="宋体" w:cs="宋体"/>
          <w:sz w:val="28"/>
          <w:szCs w:val="28"/>
          <w:lang w:eastAsia="zh-CN"/>
        </w:rPr>
        <w:t>结算过程中中标清单价不再下浮</w:t>
      </w:r>
      <w:r>
        <w:rPr>
          <w:rFonts w:hint="eastAsia" w:ascii="宋体" w:hAnsi="宋体" w:cs="宋体"/>
          <w:sz w:val="28"/>
          <w:szCs w:val="28"/>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4.2工程款支付：</w:t>
      </w:r>
      <w:r>
        <w:rPr>
          <w:rFonts w:hint="eastAsia" w:asciiTheme="minorEastAsia" w:hAnsiTheme="minorEastAsia" w:cstheme="minorEastAsia"/>
          <w:sz w:val="28"/>
          <w:szCs w:val="28"/>
          <w:lang w:eastAsia="zh-CN"/>
        </w:rPr>
        <w:t>合同签订后</w:t>
      </w:r>
      <w:r>
        <w:rPr>
          <w:rFonts w:hint="eastAsia" w:asciiTheme="minorEastAsia" w:hAnsiTheme="minorEastAsia" w:cstheme="minorEastAsia"/>
          <w:sz w:val="28"/>
          <w:szCs w:val="28"/>
          <w:lang w:val="en-US" w:eastAsia="zh-CN"/>
        </w:rPr>
        <w:t>5个工作日支付10%的预付款，</w:t>
      </w:r>
      <w:r>
        <w:rPr>
          <w:rFonts w:hint="eastAsia" w:asciiTheme="minorEastAsia" w:hAnsiTheme="minorEastAsia" w:cstheme="minorEastAsia"/>
          <w:sz w:val="28"/>
          <w:szCs w:val="28"/>
        </w:rPr>
        <w:t>施工过程中按月支付进度款，比例为已完工程的</w:t>
      </w:r>
      <w:r>
        <w:rPr>
          <w:rFonts w:hint="eastAsia" w:asciiTheme="minorEastAsia" w:hAnsiTheme="minorEastAsia" w:cstheme="minorEastAsia"/>
          <w:sz w:val="28"/>
          <w:szCs w:val="28"/>
          <w:highlight w:val="none"/>
        </w:rPr>
        <w:t>7</w:t>
      </w:r>
      <w:r>
        <w:rPr>
          <w:rFonts w:hint="eastAsia" w:asciiTheme="minorEastAsia" w:hAnsiTheme="minorEastAsia" w:cstheme="minorEastAsia"/>
          <w:sz w:val="28"/>
          <w:szCs w:val="28"/>
          <w:highlight w:val="none"/>
          <w:lang w:val="en-US" w:eastAsia="zh-CN"/>
        </w:rPr>
        <w:t>0</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eastAsia="zh-CN"/>
        </w:rPr>
        <w:t>（含预付款）</w:t>
      </w:r>
      <w:r>
        <w:rPr>
          <w:rFonts w:hint="eastAsia" w:asciiTheme="minorEastAsia" w:hAnsiTheme="minorEastAsia" w:cstheme="minorEastAsia"/>
          <w:sz w:val="28"/>
          <w:szCs w:val="28"/>
        </w:rPr>
        <w:t>，工程竣工验收合格后支付至合同内已完工程的97%，余款3%作为质量保证金，在质量缺陷责任期满后支付；</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4.3乙方应开具相应金额增值税专用发票给甲方，否则甲方有权拒绝付款且无须承担任何违约责任；</w:t>
      </w:r>
    </w:p>
    <w:p>
      <w:pPr>
        <w:pStyle w:val="18"/>
        <w:spacing w:line="276" w:lineRule="auto"/>
        <w:ind w:firstLine="560"/>
        <w:rPr>
          <w:rFonts w:asciiTheme="minorEastAsia" w:hAnsiTheme="minorEastAsia" w:cstheme="minorEastAsia"/>
          <w:sz w:val="28"/>
          <w:szCs w:val="28"/>
        </w:rPr>
      </w:pPr>
      <w:r>
        <w:rPr>
          <w:rFonts w:hint="eastAsia" w:asciiTheme="minorEastAsia" w:hAnsiTheme="minorEastAsia" w:cstheme="minorEastAsia"/>
          <w:sz w:val="28"/>
          <w:szCs w:val="28"/>
        </w:rPr>
        <w:t>4.4因投标人采取改动、缩减招标清单工程量等手段，恶意低价中标，招标人有权要求投标人按中标价包干且保证质量完成招标清单中所有工程量，否则，招标人有权取消合同并没收履约保证金；</w:t>
      </w:r>
    </w:p>
    <w:p>
      <w:pPr>
        <w:pStyle w:val="18"/>
        <w:spacing w:line="276"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4.5清单外新增工程量经招标人核定后现场签证计量或进行设计变更，费用按投标人的综合下浮比例下浮后评审确定，支付方式按合同条款4.2执行；</w:t>
      </w:r>
    </w:p>
    <w:p>
      <w:pPr>
        <w:pStyle w:val="18"/>
        <w:spacing w:line="276" w:lineRule="auto"/>
        <w:ind w:firstLine="56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4.6非司法部门的文书要求，工程款只能向以乙方为户名的银行账号拨付，不接受其他任何形式的委托付款。</w:t>
      </w:r>
    </w:p>
    <w:p>
      <w:pPr>
        <w:pStyle w:val="18"/>
        <w:spacing w:line="276" w:lineRule="auto"/>
        <w:ind w:firstLine="56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4.7履约保证金为</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cstheme="minorEastAsia"/>
          <w:bCs w:val="0"/>
          <w:color w:val="auto"/>
          <w:kern w:val="2"/>
          <w:sz w:val="28"/>
          <w:szCs w:val="28"/>
          <w:u w:val="single"/>
          <w:lang w:val="en-US" w:eastAsia="zh-CN" w:bidi="ar-SA"/>
        </w:rPr>
        <w:t xml:space="preserve">   </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eastAsiaTheme="minorEastAsia" w:cstheme="minorEastAsia"/>
          <w:bCs w:val="0"/>
          <w:color w:val="auto"/>
          <w:kern w:val="2"/>
          <w:sz w:val="28"/>
          <w:szCs w:val="28"/>
          <w:lang w:val="en-US" w:eastAsia="zh-CN" w:bidi="ar-SA"/>
        </w:rPr>
        <w:t>元（大写</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cstheme="minorEastAsia"/>
          <w:bCs w:val="0"/>
          <w:color w:val="auto"/>
          <w:kern w:val="2"/>
          <w:sz w:val="28"/>
          <w:szCs w:val="28"/>
          <w:u w:val="single"/>
          <w:lang w:val="en-US" w:eastAsia="zh-CN" w:bidi="ar-SA"/>
        </w:rPr>
        <w:t xml:space="preserve">     </w:t>
      </w:r>
      <w:r>
        <w:rPr>
          <w:rFonts w:hint="eastAsia" w:asciiTheme="minorEastAsia" w:hAnsiTheme="minorEastAsia" w:eastAsiaTheme="minorEastAsia" w:cstheme="minorEastAsia"/>
          <w:bCs w:val="0"/>
          <w:color w:val="auto"/>
          <w:kern w:val="2"/>
          <w:sz w:val="28"/>
          <w:szCs w:val="28"/>
          <w:lang w:val="en-US" w:eastAsia="zh-CN" w:bidi="ar-SA"/>
        </w:rPr>
        <w:t>元整）。履约保证金自中标通知书发出之日起5个工作日内缴纳（投标保证金可直接转换为履约保证金，不足部分另外补缴），否则招标人有权没收其投标保证金，并可重新招标或根据本次中标候选人排序确定中标人。履约保证金在工程竣工验收后5个工作日内一次性免息退还。</w:t>
      </w:r>
    </w:p>
    <w:p>
      <w:pPr>
        <w:spacing w:line="440" w:lineRule="atLeast"/>
        <w:rPr>
          <w:rFonts w:ascii="宋体" w:hAnsi="宋体" w:cs="宋体"/>
          <w:b/>
          <w:bCs/>
          <w:sz w:val="28"/>
          <w:szCs w:val="28"/>
        </w:rPr>
      </w:pPr>
      <w:r>
        <w:rPr>
          <w:rFonts w:hint="eastAsia" w:ascii="宋体" w:hAnsi="宋体" w:cs="宋体"/>
          <w:b/>
          <w:bCs/>
          <w:sz w:val="28"/>
          <w:szCs w:val="28"/>
        </w:rPr>
        <w:t>五、工程变更</w:t>
      </w:r>
    </w:p>
    <w:p>
      <w:pPr>
        <w:spacing w:line="440" w:lineRule="atLeast"/>
        <w:ind w:firstLine="560" w:firstLineChars="200"/>
        <w:rPr>
          <w:rFonts w:ascii="宋体" w:hAnsi="宋体" w:cs="宋体"/>
          <w:sz w:val="28"/>
          <w:szCs w:val="28"/>
        </w:rPr>
      </w:pPr>
      <w:r>
        <w:rPr>
          <w:rFonts w:hint="eastAsia" w:ascii="宋体" w:hAnsi="宋体" w:cs="宋体"/>
          <w:sz w:val="28"/>
          <w:szCs w:val="28"/>
        </w:rPr>
        <w:t>5.1甲方有权对本项目进行优化设计，乙方配合执行，如因设计缺陷、漏项、现场协调施工等原因需要变更的，经发包人批准后同意实施；</w:t>
      </w:r>
    </w:p>
    <w:p>
      <w:pPr>
        <w:spacing w:line="440" w:lineRule="atLeast"/>
        <w:ind w:firstLine="560" w:firstLineChars="200"/>
        <w:rPr>
          <w:rFonts w:ascii="宋体" w:hAnsi="宋体" w:cs="宋体"/>
          <w:sz w:val="28"/>
          <w:szCs w:val="28"/>
        </w:rPr>
      </w:pPr>
      <w:r>
        <w:rPr>
          <w:rFonts w:hint="eastAsia" w:ascii="宋体" w:hAnsi="宋体" w:cs="宋体"/>
          <w:sz w:val="28"/>
          <w:szCs w:val="28"/>
        </w:rPr>
        <w:t>5.2工程变更严格按照甲方《工程变更、签证管理办法》等现行管理制度执行，如有新政策，按新政策执行；</w:t>
      </w:r>
    </w:p>
    <w:p>
      <w:pPr>
        <w:spacing w:line="440" w:lineRule="atLeast"/>
        <w:ind w:firstLine="560" w:firstLineChars="200"/>
      </w:pPr>
      <w:r>
        <w:rPr>
          <w:rFonts w:hint="eastAsia" w:ascii="宋体" w:hAnsi="宋体" w:cs="宋体"/>
          <w:sz w:val="28"/>
          <w:szCs w:val="28"/>
        </w:rPr>
        <w:t>5.3对于经招标人确认招标清单中漏项的，可以进行设计变更，变更部分的计价，以招标清单综合单价为基础，按投标总价下浮率进行下浮后评审确定，进行中间计量支付；</w:t>
      </w:r>
    </w:p>
    <w:p>
      <w:pPr>
        <w:spacing w:line="440" w:lineRule="atLeast"/>
        <w:ind w:firstLine="560" w:firstLineChars="200"/>
        <w:rPr>
          <w:rFonts w:ascii="宋体" w:hAnsi="宋体" w:cs="宋体"/>
          <w:sz w:val="28"/>
          <w:szCs w:val="28"/>
        </w:rPr>
      </w:pPr>
      <w:r>
        <w:rPr>
          <w:rFonts w:hint="eastAsia" w:ascii="宋体" w:hAnsi="宋体" w:cs="宋体"/>
          <w:sz w:val="28"/>
          <w:szCs w:val="28"/>
        </w:rPr>
        <w:t>5.4严禁先施工后补办变更手续，否则，甲方有权对变更内容不予认可，相应费用由乙方承担。</w:t>
      </w:r>
    </w:p>
    <w:p>
      <w:pPr>
        <w:pStyle w:val="6"/>
        <w:adjustRightInd w:val="0"/>
        <w:snapToGrid w:val="0"/>
        <w:rPr>
          <w:rFonts w:ascii="宋体" w:hAnsi="宋体" w:cs="宋体"/>
          <w:kern w:val="2"/>
          <w:sz w:val="28"/>
          <w:szCs w:val="28"/>
        </w:rPr>
      </w:pPr>
      <w:bookmarkStart w:id="4" w:name="_Toc24575"/>
      <w:r>
        <w:rPr>
          <w:rFonts w:hint="eastAsia" w:ascii="宋体" w:hAnsi="宋体" w:cs="宋体"/>
          <w:kern w:val="2"/>
          <w:sz w:val="28"/>
          <w:szCs w:val="28"/>
        </w:rPr>
        <w:t>六、竣工验收</w:t>
      </w:r>
    </w:p>
    <w:p>
      <w:pPr>
        <w:spacing w:line="440" w:lineRule="atLeast"/>
        <w:ind w:firstLine="560" w:firstLineChars="200"/>
        <w:rPr>
          <w:rFonts w:ascii="宋体" w:hAnsi="宋体" w:cs="宋体"/>
          <w:sz w:val="28"/>
          <w:szCs w:val="28"/>
        </w:rPr>
      </w:pPr>
      <w:r>
        <w:rPr>
          <w:rFonts w:hint="eastAsia" w:ascii="宋体" w:hAnsi="宋体" w:cs="宋体"/>
          <w:sz w:val="28"/>
          <w:szCs w:val="28"/>
        </w:rPr>
        <w:t>关于竣工验收程序的约定： 按照住建部印发《</w:t>
      </w:r>
      <w:r>
        <w:fldChar w:fldCharType="begin"/>
      </w:r>
      <w:r>
        <w:instrText xml:space="preserve"> HYPERLINK "https://baike.so.com/doc/8966492-9294596.html" \t "https://baike.so.com/doc/_blank" </w:instrText>
      </w:r>
      <w:r>
        <w:fldChar w:fldCharType="separate"/>
      </w:r>
      <w:r>
        <w:rPr>
          <w:rFonts w:hint="eastAsia" w:ascii="宋体" w:hAnsi="宋体" w:cs="宋体"/>
          <w:sz w:val="28"/>
          <w:szCs w:val="28"/>
        </w:rPr>
        <w:t>房屋建筑和市政基础设施工程竣工验收规定</w:t>
      </w:r>
      <w:r>
        <w:rPr>
          <w:rFonts w:hint="eastAsia" w:ascii="宋体" w:hAnsi="宋体" w:cs="宋体"/>
          <w:sz w:val="28"/>
          <w:szCs w:val="28"/>
        </w:rPr>
        <w:fldChar w:fldCharType="end"/>
      </w:r>
      <w:r>
        <w:rPr>
          <w:rFonts w:hint="eastAsia" w:ascii="宋体" w:hAnsi="宋体" w:cs="宋体"/>
          <w:sz w:val="28"/>
          <w:szCs w:val="28"/>
        </w:rPr>
        <w:t>》(建质〔2013〕171号)和甲方《工程竣工验收管理办法》等现行管理制度执行，如有新规定，按新规定执行。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七、竣工结算</w:t>
      </w:r>
    </w:p>
    <w:p>
      <w:pPr>
        <w:adjustRightInd w:val="0"/>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 xml:space="preserve">7.1 </w:t>
      </w:r>
      <w:r>
        <w:rPr>
          <w:rFonts w:hint="eastAsia" w:ascii="宋体" w:hAnsi="宋体" w:cs="宋体"/>
          <w:sz w:val="28"/>
          <w:szCs w:val="28"/>
          <w:highlight w:val="none"/>
          <w:lang w:eastAsia="zh-CN"/>
        </w:rPr>
        <w:t>本项目采用最低价法，</w:t>
      </w:r>
      <w:r>
        <w:rPr>
          <w:rFonts w:hint="eastAsia" w:ascii="宋体" w:hAnsi="宋体" w:cs="宋体"/>
          <w:sz w:val="28"/>
          <w:szCs w:val="28"/>
          <w:lang w:eastAsia="zh-CN"/>
        </w:rPr>
        <w:t>结算过程中中标清单价不再下浮；</w:t>
      </w:r>
    </w:p>
    <w:p>
      <w:pPr>
        <w:spacing w:line="440" w:lineRule="atLeast"/>
        <w:ind w:firstLine="560" w:firstLineChars="200"/>
        <w:rPr>
          <w:rFonts w:ascii="宋体" w:hAnsi="宋体" w:cs="宋体"/>
          <w:sz w:val="28"/>
          <w:szCs w:val="28"/>
        </w:rPr>
      </w:pPr>
      <w:r>
        <w:rPr>
          <w:rFonts w:hint="eastAsia" w:ascii="宋体" w:hAnsi="宋体" w:cs="宋体"/>
          <w:sz w:val="28"/>
          <w:szCs w:val="28"/>
        </w:rPr>
        <w:t>7.2 工程竣工验收合格后，乙方应在30天内向发包人提交一式三份的竣工结算报告，竣工结算清单须采用广联达软件编制；</w:t>
      </w:r>
    </w:p>
    <w:p>
      <w:pPr>
        <w:spacing w:line="440" w:lineRule="atLeast"/>
        <w:ind w:firstLine="560" w:firstLineChars="200"/>
        <w:rPr>
          <w:rFonts w:ascii="宋体" w:hAnsi="宋体" w:cs="宋体"/>
          <w:sz w:val="28"/>
          <w:szCs w:val="28"/>
        </w:rPr>
      </w:pPr>
      <w:r>
        <w:rPr>
          <w:rFonts w:hint="eastAsia" w:ascii="宋体" w:hAnsi="宋体" w:cs="宋体"/>
          <w:sz w:val="28"/>
          <w:szCs w:val="28"/>
        </w:rPr>
        <w:t>7.3工程竣工结算按甲方《工程竣工结算及评审管理办法》等现行管理制度执行，如有新制度，按新制度执行。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八、缺陷责任期</w:t>
      </w:r>
    </w:p>
    <w:p>
      <w:pPr>
        <w:spacing w:line="440" w:lineRule="atLeast"/>
        <w:ind w:firstLine="560" w:firstLineChars="200"/>
        <w:rPr>
          <w:rFonts w:ascii="宋体" w:hAnsi="宋体" w:cs="宋体"/>
          <w:sz w:val="28"/>
          <w:szCs w:val="28"/>
        </w:rPr>
      </w:pPr>
      <w:r>
        <w:rPr>
          <w:rFonts w:hint="eastAsia" w:ascii="宋体" w:hAnsi="宋体" w:cs="宋体"/>
          <w:sz w:val="28"/>
          <w:szCs w:val="28"/>
        </w:rPr>
        <w:t>缺陷责任期的具体期限：自竣工验收合格之日起</w:t>
      </w:r>
      <w:r>
        <w:rPr>
          <w:rFonts w:hint="eastAsia" w:ascii="宋体" w:hAnsi="宋体" w:cs="宋体"/>
          <w:sz w:val="28"/>
          <w:szCs w:val="28"/>
          <w:highlight w:val="none"/>
        </w:rPr>
        <w:t>12个月</w:t>
      </w:r>
      <w:r>
        <w:rPr>
          <w:rFonts w:hint="eastAsia" w:ascii="宋体" w:hAnsi="宋体" w:cs="宋体"/>
          <w:sz w:val="28"/>
          <w:szCs w:val="28"/>
        </w:rPr>
        <w:t xml:space="preserve">。在缺陷责任期内因乙方原因造成工程出现重大质量问题而返修的，由乙方修复，缺陷责任期从返修完成并通过验收之日起重新开始计算。 </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九、</w:t>
      </w:r>
      <w:bookmarkEnd w:id="4"/>
      <w:r>
        <w:rPr>
          <w:rFonts w:hint="eastAsia" w:asciiTheme="minorEastAsia" w:hAnsiTheme="minorEastAsia" w:cstheme="minorEastAsia"/>
          <w:b/>
          <w:sz w:val="28"/>
          <w:szCs w:val="28"/>
        </w:rPr>
        <w:t>双方的权利与义务</w:t>
      </w:r>
    </w:p>
    <w:p>
      <w:pPr>
        <w:adjustRightInd w:val="0"/>
        <w:snapToGrid w:val="0"/>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9.1甲方的权利与义务</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9.1.1甲方有权对乙方质量、安全、费用、进度等工作进行监督检查，并根据相关法律法规及公司相关制度对项目进行管理；</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9.1.2甲方须按合同约定进行付款；</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9.1.3甲方应及时提供施工图纸及相关资料，施工现场如存在阻工现象，甲方有义务进行协调，并协助乙方办理临建场地、办公临建、生活临建、施工用水、施工用电等工作。</w:t>
      </w:r>
    </w:p>
    <w:p>
      <w:pPr>
        <w:adjustRightInd w:val="0"/>
        <w:snapToGrid w:val="0"/>
        <w:spacing w:line="360" w:lineRule="auto"/>
        <w:ind w:firstLine="562" w:firstLineChars="200"/>
        <w:rPr>
          <w:rFonts w:asciiTheme="minorEastAsia" w:hAnsiTheme="minorEastAsia" w:cstheme="minorEastAsia"/>
          <w:b/>
          <w:bCs/>
          <w:sz w:val="28"/>
          <w:szCs w:val="28"/>
        </w:rPr>
      </w:pPr>
      <w:bookmarkStart w:id="5" w:name="_Toc13260"/>
      <w:bookmarkStart w:id="6" w:name="_Toc17876555"/>
      <w:r>
        <w:rPr>
          <w:rFonts w:hint="eastAsia" w:asciiTheme="minorEastAsia" w:hAnsiTheme="minorEastAsia" w:cstheme="minorEastAsia"/>
          <w:b/>
          <w:bCs/>
          <w:sz w:val="28"/>
          <w:szCs w:val="28"/>
        </w:rPr>
        <w:t>9.2、乙方的权利与义务</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9.2.1乙方施工过程中须遵守相关法律法规和甲方各项管理制度，严格按图施工；</w:t>
      </w:r>
    </w:p>
    <w:p>
      <w:pPr>
        <w:adjustRightInd w:val="0"/>
        <w:snapToGrid w:val="0"/>
        <w:spacing w:line="360" w:lineRule="auto"/>
        <w:ind w:firstLine="560" w:firstLineChars="200"/>
        <w:rPr>
          <w:rFonts w:ascii="宋体" w:hAnsi="宋体" w:cs="宋体"/>
          <w:sz w:val="28"/>
          <w:szCs w:val="28"/>
        </w:rPr>
      </w:pPr>
      <w:r>
        <w:rPr>
          <w:rFonts w:hint="eastAsia" w:asciiTheme="minorEastAsia" w:hAnsiTheme="minorEastAsia" w:cstheme="minorEastAsia"/>
          <w:sz w:val="28"/>
          <w:szCs w:val="28"/>
        </w:rPr>
        <w:t>9.2.2</w:t>
      </w:r>
      <w:r>
        <w:rPr>
          <w:rFonts w:hint="eastAsia" w:ascii="宋体" w:hAnsi="宋体" w:cs="宋体"/>
          <w:sz w:val="28"/>
          <w:szCs w:val="28"/>
        </w:rPr>
        <w:t>乙方必须采用切实可行的安全措施保护场地内行人与第三者安全,其费用应考虑到报价中；乙方未按照规定认真执行，发生纠纷甚至安全事故的，一切责任及费用由乙方承担；</w:t>
      </w:r>
    </w:p>
    <w:bookmarkEnd w:id="5"/>
    <w:bookmarkEnd w:id="6"/>
    <w:p>
      <w:pPr>
        <w:spacing w:line="440" w:lineRule="atLeast"/>
        <w:ind w:firstLine="560" w:firstLineChars="200"/>
        <w:rPr>
          <w:rFonts w:ascii="宋体" w:hAnsi="宋体" w:cs="宋体"/>
          <w:sz w:val="28"/>
          <w:szCs w:val="28"/>
        </w:rPr>
      </w:pPr>
      <w:r>
        <w:rPr>
          <w:rFonts w:hint="eastAsia" w:ascii="宋体" w:hAnsi="宋体" w:cs="宋体"/>
          <w:sz w:val="28"/>
          <w:szCs w:val="28"/>
        </w:rPr>
        <w:t>9.2.3乙方应与所雇用的劳动者签订劳动合同，切实加强用工管理，按合同规定按时足额支付用工费用。如果乙方不能按约支付民工工资、材料供应商等单位的材料款造成上访、阻工、影响工程进度等，由此造成的损失和责任由乙方承担。如果非甲方原因出现闹事、农民工上访等现象，将视情况上报行政主管部门将施工单位记入甲方的黑名单；</w:t>
      </w:r>
    </w:p>
    <w:p>
      <w:pPr>
        <w:spacing w:line="440" w:lineRule="atLeast"/>
        <w:ind w:firstLine="560" w:firstLineChars="200"/>
        <w:rPr>
          <w:rFonts w:hint="eastAsia" w:ascii="宋体" w:hAnsi="宋体" w:cs="宋体"/>
          <w:sz w:val="28"/>
          <w:szCs w:val="28"/>
        </w:rPr>
      </w:pPr>
      <w:r>
        <w:rPr>
          <w:rFonts w:hint="eastAsia" w:ascii="宋体" w:hAnsi="宋体" w:cs="宋体"/>
          <w:sz w:val="28"/>
          <w:szCs w:val="28"/>
        </w:rPr>
        <w:t>9.2.4乙方须接受甲方的制度管理，按合同工期完成项目建设，否则甲方有权按公司制度及合同约定进行处罚。</w:t>
      </w:r>
    </w:p>
    <w:p>
      <w:pPr>
        <w:pStyle w:val="2"/>
      </w:pPr>
    </w:p>
    <w:p>
      <w:pPr>
        <w:pStyle w:val="2"/>
      </w:pPr>
    </w:p>
    <w:p>
      <w:pPr>
        <w:pStyle w:val="2"/>
      </w:pPr>
      <w:bookmarkStart w:id="8" w:name="_GoBack"/>
      <w:bookmarkEnd w:id="8"/>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十、违约责任</w:t>
      </w:r>
    </w:p>
    <w:p>
      <w:pPr>
        <w:spacing w:line="440" w:lineRule="atLeast"/>
        <w:ind w:firstLine="560" w:firstLineChars="200"/>
        <w:rPr>
          <w:rFonts w:ascii="宋体" w:hAnsi="宋体" w:cs="宋体"/>
          <w:sz w:val="28"/>
          <w:szCs w:val="28"/>
        </w:rPr>
      </w:pPr>
      <w:r>
        <w:rPr>
          <w:rFonts w:hint="eastAsia" w:ascii="宋体" w:hAnsi="宋体" w:cs="宋体"/>
          <w:sz w:val="28"/>
          <w:szCs w:val="28"/>
        </w:rPr>
        <w:t>10.1因甲方原因未能及时审批确定施工图纸及方案时，工期相应顺延；</w:t>
      </w:r>
    </w:p>
    <w:p>
      <w:pPr>
        <w:spacing w:line="440" w:lineRule="atLeast"/>
        <w:ind w:firstLine="560" w:firstLineChars="200"/>
        <w:rPr>
          <w:rFonts w:ascii="宋体" w:hAnsi="宋体" w:cs="宋体"/>
          <w:sz w:val="28"/>
          <w:szCs w:val="28"/>
        </w:rPr>
      </w:pPr>
      <w:r>
        <w:rPr>
          <w:rFonts w:hint="eastAsia" w:ascii="宋体" w:hAnsi="宋体" w:cs="宋体"/>
          <w:sz w:val="28"/>
          <w:szCs w:val="28"/>
        </w:rPr>
        <w:t>10.2因甲方其他原因造成停工或不能顺利施工的，乙方可向发包人书面提出工程顺延及补偿窝工费等损失，工期顺延的时间及窝工费等损失的数额，发包人依照国家法律法规和湖南城陵矶新港区规定最终审定；</w:t>
      </w:r>
    </w:p>
    <w:p>
      <w:pPr>
        <w:spacing w:line="440" w:lineRule="atLeast"/>
        <w:ind w:firstLine="560" w:firstLineChars="200"/>
        <w:rPr>
          <w:rFonts w:ascii="宋体" w:hAnsi="宋体" w:cs="宋体"/>
          <w:sz w:val="28"/>
          <w:szCs w:val="28"/>
        </w:rPr>
      </w:pPr>
      <w:r>
        <w:rPr>
          <w:rFonts w:hint="eastAsia" w:ascii="宋体" w:hAnsi="宋体" w:cs="宋体"/>
          <w:sz w:val="28"/>
          <w:szCs w:val="28"/>
        </w:rPr>
        <w:t>10.3由于乙方原因造成建设工期延长，未按本合同要求在约定期限内完工的，每拖延一天支付违约金</w:t>
      </w:r>
      <w:r>
        <w:rPr>
          <w:rFonts w:hint="eastAsia" w:ascii="宋体" w:hAnsi="宋体" w:cs="宋体"/>
          <w:sz w:val="28"/>
          <w:szCs w:val="28"/>
          <w:lang w:val="en-US" w:eastAsia="zh-CN"/>
        </w:rPr>
        <w:t>10</w:t>
      </w:r>
      <w:r>
        <w:rPr>
          <w:rFonts w:hint="eastAsia" w:ascii="宋体" w:hAnsi="宋体" w:cs="宋体"/>
          <w:sz w:val="28"/>
          <w:szCs w:val="28"/>
        </w:rPr>
        <w:t>00元，作为乙方赔偿发包人因延长工期造成的经济损失；</w:t>
      </w:r>
    </w:p>
    <w:p>
      <w:pPr>
        <w:spacing w:line="440" w:lineRule="atLeast"/>
        <w:ind w:firstLine="560" w:firstLineChars="200"/>
        <w:rPr>
          <w:rFonts w:ascii="宋体" w:hAnsi="宋体" w:cs="宋体"/>
          <w:sz w:val="28"/>
          <w:szCs w:val="28"/>
        </w:rPr>
      </w:pPr>
      <w:r>
        <w:rPr>
          <w:rFonts w:hint="eastAsia" w:ascii="宋体" w:hAnsi="宋体" w:cs="宋体"/>
          <w:sz w:val="28"/>
          <w:szCs w:val="28"/>
        </w:rPr>
        <w:t>10.4如果因乙方原因不能继续完成本工程，发包人有权解除合同，对前期工程款进行结算，同时另选施工单位完成本工程，并没收乙方的履约保证金。</w:t>
      </w:r>
    </w:p>
    <w:p>
      <w:pPr>
        <w:spacing w:line="440" w:lineRule="atLeast"/>
        <w:ind w:firstLine="560" w:firstLineChars="200"/>
        <w:rPr>
          <w:rFonts w:ascii="宋体" w:hAnsi="宋体" w:cs="宋体"/>
          <w:sz w:val="28"/>
          <w:szCs w:val="28"/>
        </w:rPr>
      </w:pPr>
      <w:r>
        <w:rPr>
          <w:rFonts w:hint="eastAsia" w:ascii="宋体" w:hAnsi="宋体" w:cs="宋体"/>
          <w:sz w:val="28"/>
          <w:szCs w:val="28"/>
        </w:rPr>
        <w:t>10.5如乙方工程质量达不到合格要求，甲方责成乙方整改，所需费用由乙方支付，整改增加的费用不计入工程造价，由乙方自行承担，因此造成工期延期的，由乙方按本协议的约定承担延期的违约金。</w:t>
      </w:r>
    </w:p>
    <w:p>
      <w:pPr>
        <w:spacing w:line="440" w:lineRule="atLeast"/>
        <w:rPr>
          <w:rFonts w:ascii="宋体" w:hAnsi="宋体" w:cs="宋体"/>
          <w:b/>
          <w:bCs/>
          <w:sz w:val="28"/>
          <w:szCs w:val="28"/>
        </w:rPr>
      </w:pPr>
      <w:r>
        <w:rPr>
          <w:rFonts w:hint="eastAsia" w:ascii="宋体" w:hAnsi="宋体" w:cs="宋体"/>
          <w:b/>
          <w:bCs/>
          <w:sz w:val="28"/>
          <w:szCs w:val="28"/>
        </w:rPr>
        <w:t>十一、 争议和裁决</w:t>
      </w:r>
    </w:p>
    <w:p>
      <w:pPr>
        <w:spacing w:line="440" w:lineRule="atLeast"/>
        <w:ind w:firstLine="560" w:firstLineChars="200"/>
        <w:rPr>
          <w:rFonts w:ascii="宋体" w:hAnsi="宋体" w:cs="宋体"/>
          <w:sz w:val="28"/>
          <w:szCs w:val="28"/>
        </w:rPr>
      </w:pPr>
      <w:bookmarkStart w:id="7" w:name="_Toc17876581"/>
      <w:r>
        <w:rPr>
          <w:rFonts w:hint="eastAsia" w:ascii="宋体" w:hAnsi="宋体" w:cs="宋体"/>
          <w:sz w:val="28"/>
          <w:szCs w:val="28"/>
        </w:rPr>
        <w:t>11.1对合同引起的争议，甲方与乙方应协商解决；如协商未能达成一致，可提交主管部门协调；如仍不能达成一致时，可向项目所在地人民法院提起诉讼。</w:t>
      </w:r>
    </w:p>
    <w:p>
      <w:pPr>
        <w:spacing w:line="440" w:lineRule="atLeast"/>
        <w:rPr>
          <w:rFonts w:ascii="宋体" w:hAnsi="宋体" w:cs="宋体"/>
          <w:b/>
          <w:bCs/>
          <w:sz w:val="28"/>
          <w:szCs w:val="28"/>
        </w:rPr>
      </w:pPr>
      <w:r>
        <w:rPr>
          <w:rFonts w:hint="eastAsia" w:ascii="宋体" w:hAnsi="宋体" w:cs="宋体"/>
          <w:b/>
          <w:bCs/>
          <w:sz w:val="28"/>
          <w:szCs w:val="28"/>
        </w:rPr>
        <w:t>十二、其它</w:t>
      </w:r>
    </w:p>
    <w:bookmarkEnd w:id="7"/>
    <w:p>
      <w:pPr>
        <w:adjustRightInd w:val="0"/>
        <w:snapToGrid w:val="0"/>
        <w:spacing w:line="360" w:lineRule="auto"/>
        <w:ind w:firstLine="560" w:firstLineChars="200"/>
        <w:rPr>
          <w:rFonts w:hint="eastAsia" w:asciiTheme="minorEastAsia" w:hAnsiTheme="minorEastAsia" w:cstheme="minorEastAsia"/>
          <w:sz w:val="28"/>
          <w:szCs w:val="28"/>
        </w:rPr>
      </w:pPr>
      <w:r>
        <w:rPr>
          <w:rFonts w:hint="eastAsia" w:ascii="宋体" w:hAnsi="宋体" w:cs="仿宋"/>
          <w:sz w:val="28"/>
          <w:szCs w:val="28"/>
        </w:rPr>
        <w:t>12.1</w:t>
      </w:r>
      <w:r>
        <w:rPr>
          <w:rFonts w:ascii="宋体" w:hAnsi="宋体" w:cs="仿宋"/>
          <w:sz w:val="28"/>
          <w:szCs w:val="28"/>
        </w:rPr>
        <w:t>本合同一式</w:t>
      </w:r>
      <w:r>
        <w:rPr>
          <w:rFonts w:hint="eastAsia" w:ascii="宋体" w:hAnsi="宋体" w:cs="仿宋"/>
          <w:sz w:val="28"/>
          <w:szCs w:val="28"/>
          <w:u w:val="single"/>
        </w:rPr>
        <w:t xml:space="preserve"> 捌 </w:t>
      </w:r>
      <w:r>
        <w:rPr>
          <w:rFonts w:ascii="宋体" w:hAnsi="宋体" w:cs="仿宋"/>
          <w:sz w:val="28"/>
          <w:szCs w:val="28"/>
        </w:rPr>
        <w:t>份，</w:t>
      </w:r>
      <w:r>
        <w:rPr>
          <w:rFonts w:hint="eastAsia" w:ascii="宋体" w:hAnsi="宋体" w:cs="仿宋"/>
          <w:sz w:val="28"/>
          <w:szCs w:val="28"/>
        </w:rPr>
        <w:t>甲方执</w:t>
      </w:r>
      <w:r>
        <w:rPr>
          <w:rFonts w:hint="eastAsia" w:ascii="宋体" w:hAnsi="宋体" w:cs="仿宋"/>
          <w:sz w:val="28"/>
          <w:szCs w:val="28"/>
          <w:u w:val="single"/>
        </w:rPr>
        <w:t xml:space="preserve"> 肆 </w:t>
      </w:r>
      <w:r>
        <w:rPr>
          <w:rFonts w:hint="eastAsia" w:ascii="宋体" w:hAnsi="宋体" w:cs="仿宋"/>
          <w:sz w:val="28"/>
          <w:szCs w:val="28"/>
        </w:rPr>
        <w:t>份，乙方执</w:t>
      </w:r>
      <w:r>
        <w:rPr>
          <w:rFonts w:hint="eastAsia" w:ascii="宋体" w:hAnsi="宋体" w:cs="仿宋"/>
          <w:sz w:val="28"/>
          <w:szCs w:val="28"/>
          <w:u w:val="single"/>
        </w:rPr>
        <w:t xml:space="preserve"> 肆 </w:t>
      </w:r>
      <w:r>
        <w:rPr>
          <w:rFonts w:hint="eastAsia" w:ascii="宋体" w:hAnsi="宋体" w:cs="仿宋"/>
          <w:sz w:val="28"/>
          <w:szCs w:val="28"/>
        </w:rPr>
        <w:t xml:space="preserve"> 份。</w:t>
      </w:r>
    </w:p>
    <w:p>
      <w:pPr>
        <w:pStyle w:val="2"/>
        <w:rPr>
          <w:rFonts w:hint="eastAsia" w:asciiTheme="minorEastAsia" w:hAnsiTheme="minorEastAsia" w:cstheme="minorEastAsia"/>
          <w:sz w:val="28"/>
          <w:szCs w:val="28"/>
        </w:rPr>
      </w:pPr>
    </w:p>
    <w:p>
      <w:pPr>
        <w:pStyle w:val="2"/>
        <w:ind w:left="0" w:leftChars="0" w:firstLine="0" w:firstLine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签</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章</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页</w:t>
      </w:r>
    </w:p>
    <w:p>
      <w:pPr>
        <w:adjustRightInd w:val="0"/>
        <w:snapToGrid w:val="0"/>
        <w:spacing w:line="360" w:lineRule="auto"/>
        <w:rPr>
          <w:rFonts w:hint="eastAsia" w:asciiTheme="minorEastAsia" w:hAnsiTheme="minorEastAsia" w:cstheme="minorEastAsia"/>
          <w:sz w:val="28"/>
          <w:szCs w:val="28"/>
        </w:rPr>
      </w:pP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甲方:                          乙方: </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                    法定代表人: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委托代理人:                    委托代理人: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地址:                          地址:</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电话:                          电话:</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传真:                          传真:</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纳税人识别号:                  开户行:         </w:t>
      </w:r>
    </w:p>
    <w:p>
      <w:pPr>
        <w:adjustRightInd w:val="0"/>
        <w:snapToGrid w:val="0"/>
        <w:spacing w:line="360" w:lineRule="auto"/>
        <w:ind w:firstLine="1120" w:firstLineChars="400"/>
        <w:rPr>
          <w:rFonts w:asciiTheme="minorEastAsia" w:hAnsiTheme="minorEastAsia" w:cstheme="minorEastAsia"/>
          <w:sz w:val="28"/>
          <w:szCs w:val="28"/>
        </w:rPr>
      </w:pPr>
      <w:r>
        <w:rPr>
          <w:rFonts w:hint="eastAsia" w:asciiTheme="minorEastAsia" w:hAnsiTheme="minorEastAsia" w:cstheme="minorEastAsia"/>
          <w:sz w:val="28"/>
          <w:szCs w:val="28"/>
        </w:rPr>
        <w:t xml:space="preserve">                       账号: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纳税人识别号：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签订日期:                      签订日期:  </w:t>
      </w:r>
    </w:p>
    <w:p>
      <w:pPr>
        <w:rPr>
          <w:rFonts w:asciiTheme="minorEastAsia" w:hAnsiTheme="minorEastAsia" w:cstheme="minorEastAsia"/>
          <w:sz w:val="32"/>
          <w:szCs w:val="32"/>
        </w:rPr>
      </w:pPr>
    </w:p>
    <w:p>
      <w:pPr>
        <w:pStyle w:val="2"/>
        <w:rPr>
          <w:rFonts w:asciiTheme="minorEastAsia" w:hAnsiTheme="minorEastAsia" w:cstheme="minorEastAsia"/>
          <w:sz w:val="32"/>
          <w:szCs w:val="32"/>
        </w:rPr>
      </w:pPr>
    </w:p>
    <w:p>
      <w:pPr>
        <w:pStyle w:val="2"/>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br w:type="page"/>
      </w:r>
    </w:p>
    <w:p>
      <w:pPr>
        <w:pStyle w:val="2"/>
        <w:rPr>
          <w:rFonts w:asciiTheme="minorEastAsia" w:hAnsiTheme="minorEastAsia" w:cstheme="minorEastAsia"/>
          <w:sz w:val="32"/>
          <w:szCs w:val="32"/>
        </w:rPr>
        <w:sectPr>
          <w:headerReference r:id="rId6" w:type="default"/>
          <w:footerReference r:id="rId7" w:type="default"/>
          <w:pgSz w:w="11906" w:h="16838"/>
          <w:pgMar w:top="1440" w:right="1800" w:bottom="1440" w:left="1800" w:header="851" w:footer="992" w:gutter="0"/>
          <w:cols w:space="425" w:num="1"/>
          <w:docGrid w:type="lines" w:linePitch="312" w:charSpace="0"/>
        </w:sectPr>
      </w:pPr>
    </w:p>
    <w:p>
      <w:pPr>
        <w:pStyle w:val="4"/>
        <w:snapToGrid w:val="0"/>
        <w:spacing w:before="0" w:after="0" w:line="240" w:lineRule="auto"/>
        <w:jc w:val="center"/>
        <w:rPr>
          <w:rFonts w:asciiTheme="minorEastAsia" w:hAnsiTheme="minorEastAsia" w:cstheme="minorEastAsia"/>
          <w:kern w:val="2"/>
          <w:sz w:val="40"/>
          <w:szCs w:val="40"/>
        </w:rPr>
      </w:pPr>
      <w:r>
        <w:rPr>
          <w:rFonts w:hint="eastAsia" w:asciiTheme="minorEastAsia" w:hAnsiTheme="minorEastAsia" w:cstheme="minorEastAsia"/>
          <w:kern w:val="2"/>
          <w:sz w:val="40"/>
          <w:szCs w:val="40"/>
          <w:lang w:eastAsia="zh-CN"/>
        </w:rPr>
        <w:t>岳阳城陵矶新港区老管委会屋顶分布式光伏发电项目</w:t>
      </w:r>
      <w:r>
        <w:rPr>
          <w:rFonts w:hint="eastAsia" w:asciiTheme="minorEastAsia" w:hAnsiTheme="minorEastAsia" w:cstheme="minorEastAsia"/>
          <w:kern w:val="2"/>
          <w:sz w:val="40"/>
          <w:szCs w:val="40"/>
        </w:rPr>
        <w:t>报价登记表</w:t>
      </w:r>
    </w:p>
    <w:tbl>
      <w:tblPr>
        <w:tblStyle w:val="11"/>
        <w:tblW w:w="14059" w:type="dxa"/>
        <w:tblInd w:w="93" w:type="dxa"/>
        <w:tblLayout w:type="fixed"/>
        <w:tblCellMar>
          <w:top w:w="0" w:type="dxa"/>
          <w:left w:w="108" w:type="dxa"/>
          <w:bottom w:w="0" w:type="dxa"/>
          <w:right w:w="108" w:type="dxa"/>
        </w:tblCellMar>
      </w:tblPr>
      <w:tblGrid>
        <w:gridCol w:w="930"/>
        <w:gridCol w:w="155"/>
        <w:gridCol w:w="3489"/>
        <w:gridCol w:w="1836"/>
        <w:gridCol w:w="1619"/>
        <w:gridCol w:w="1708"/>
        <w:gridCol w:w="1780"/>
        <w:gridCol w:w="2542"/>
      </w:tblGrid>
      <w:tr>
        <w:tblPrEx>
          <w:tblCellMar>
            <w:top w:w="0" w:type="dxa"/>
            <w:left w:w="108" w:type="dxa"/>
            <w:bottom w:w="0" w:type="dxa"/>
            <w:right w:w="108" w:type="dxa"/>
          </w:tblCellMar>
        </w:tblPrEx>
        <w:trPr>
          <w:trHeight w:val="617" w:hRule="atLeas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序号</w:t>
            </w:r>
          </w:p>
        </w:tc>
        <w:tc>
          <w:tcPr>
            <w:tcW w:w="36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w:t>
            </w:r>
          </w:p>
        </w:tc>
        <w:tc>
          <w:tcPr>
            <w:tcW w:w="18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投标总价/元</w:t>
            </w:r>
          </w:p>
        </w:tc>
        <w:tc>
          <w:tcPr>
            <w:tcW w:w="16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投标人签名</w:t>
            </w:r>
          </w:p>
        </w:tc>
        <w:tc>
          <w:tcPr>
            <w:tcW w:w="1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联系电话</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排序</w:t>
            </w:r>
          </w:p>
        </w:tc>
        <w:tc>
          <w:tcPr>
            <w:tcW w:w="25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备注</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gridAfter w:val="6"/>
          <w:wAfter w:w="12974" w:type="dxa"/>
          <w:trHeight w:val="466" w:hRule="atLeast"/>
        </w:trPr>
        <w:tc>
          <w:tcPr>
            <w:tcW w:w="1085" w:type="dxa"/>
            <w:gridSpan w:val="2"/>
            <w:tcBorders>
              <w:top w:val="single" w:color="auto" w:sz="4" w:space="0"/>
              <w:left w:val="nil"/>
              <w:bottom w:val="nil"/>
              <w:right w:val="nil"/>
            </w:tcBorders>
            <w:shd w:val="clear" w:color="auto" w:fill="auto"/>
            <w:noWrap/>
            <w:vAlign w:val="center"/>
          </w:tcPr>
          <w:p>
            <w:pPr>
              <w:widowControl/>
              <w:jc w:val="left"/>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4574" w:type="dxa"/>
            <w:gridSpan w:val="3"/>
            <w:tcBorders>
              <w:top w:val="nil"/>
              <w:left w:val="nil"/>
              <w:bottom w:val="nil"/>
              <w:right w:val="nil"/>
            </w:tcBorders>
            <w:shd w:val="clear" w:color="auto" w:fill="auto"/>
            <w:noWrap/>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评标小组</w:t>
            </w:r>
            <w:r>
              <w:rPr>
                <w:rFonts w:hint="eastAsia" w:asciiTheme="minorEastAsia" w:hAnsiTheme="minorEastAsia" w:cstheme="minorEastAsia"/>
                <w:kern w:val="0"/>
                <w:sz w:val="24"/>
                <w:szCs w:val="24"/>
              </w:rPr>
              <w:t>人员签名：</w:t>
            </w:r>
          </w:p>
        </w:tc>
        <w:tc>
          <w:tcPr>
            <w:tcW w:w="1836"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3488" w:type="dxa"/>
            <w:gridSpan w:val="2"/>
            <w:tcBorders>
              <w:top w:val="nil"/>
              <w:left w:val="nil"/>
              <w:bottom w:val="nil"/>
              <w:right w:val="nil"/>
            </w:tcBorders>
            <w:shd w:val="clear" w:color="auto" w:fill="auto"/>
            <w:noWrap/>
            <w:vAlign w:val="center"/>
          </w:tcPr>
          <w:p>
            <w:pPr>
              <w:widowControl/>
              <w:jc w:val="both"/>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监督部门签字：</w:t>
            </w:r>
          </w:p>
        </w:tc>
        <w:tc>
          <w:tcPr>
            <w:tcW w:w="254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93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3644" w:type="dxa"/>
            <w:gridSpan w:val="2"/>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08"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8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bl>
    <w:p>
      <w:pPr>
        <w:pStyle w:val="2"/>
        <w:ind w:left="0" w:leftChars="0" w:firstLine="0" w:firstLineChars="0"/>
      </w:pPr>
    </w:p>
    <w:sectPr>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jc w:val="right"/>
                </w:pPr>
                <w:r>
                  <w:fldChar w:fldCharType="begin"/>
                </w:r>
                <w:r>
                  <w:instrText xml:space="preserve"> PAGE   \* MERGEFORMAT </w:instrText>
                </w:r>
                <w:r>
                  <w:fldChar w:fldCharType="separate"/>
                </w:r>
                <w:r>
                  <w:rPr>
                    <w:lang w:val="zh-CN"/>
                  </w:rPr>
                  <w:t>3</w:t>
                </w:r>
                <w:r>
                  <w:rPr>
                    <w:lang w:val="zh-CN"/>
                  </w:rPr>
                  <w:fldChar w:fldCharType="end"/>
                </w:r>
              </w:p>
            </w:txbxContent>
          </v:textbox>
        </v:shape>
      </w:pic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2C411"/>
    <w:multiLevelType w:val="singleLevel"/>
    <w:tmpl w:val="C052C411"/>
    <w:lvl w:ilvl="0" w:tentative="0">
      <w:start w:val="1"/>
      <w:numFmt w:val="chineseCounting"/>
      <w:suff w:val="space"/>
      <w:lvlText w:val="第%1章"/>
      <w:lvlJc w:val="left"/>
      <w:rPr>
        <w:rFonts w:hint="eastAsia"/>
      </w:rPr>
    </w:lvl>
  </w:abstractNum>
  <w:abstractNum w:abstractNumId="1">
    <w:nsid w:val="0C46C4EC"/>
    <w:multiLevelType w:val="singleLevel"/>
    <w:tmpl w:val="0C46C4EC"/>
    <w:lvl w:ilvl="0" w:tentative="0">
      <w:start w:val="1"/>
      <w:numFmt w:val="chineseCounting"/>
      <w:suff w:val="nothing"/>
      <w:lvlText w:val="%1、"/>
      <w:lvlJc w:val="left"/>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6E6E"/>
    <w:rsid w:val="00006E6E"/>
    <w:rsid w:val="00007A96"/>
    <w:rsid w:val="000228EE"/>
    <w:rsid w:val="00084775"/>
    <w:rsid w:val="00144400"/>
    <w:rsid w:val="001768B7"/>
    <w:rsid w:val="001B761B"/>
    <w:rsid w:val="00204AEB"/>
    <w:rsid w:val="002359E3"/>
    <w:rsid w:val="0025258F"/>
    <w:rsid w:val="00263B00"/>
    <w:rsid w:val="002837EC"/>
    <w:rsid w:val="002C2BD9"/>
    <w:rsid w:val="00334630"/>
    <w:rsid w:val="00370EAE"/>
    <w:rsid w:val="00371187"/>
    <w:rsid w:val="003944EE"/>
    <w:rsid w:val="004619D4"/>
    <w:rsid w:val="004641E8"/>
    <w:rsid w:val="004C33FB"/>
    <w:rsid w:val="00530A85"/>
    <w:rsid w:val="00580894"/>
    <w:rsid w:val="00585B13"/>
    <w:rsid w:val="00603327"/>
    <w:rsid w:val="00663A3D"/>
    <w:rsid w:val="006718C0"/>
    <w:rsid w:val="006B08EB"/>
    <w:rsid w:val="006B0E40"/>
    <w:rsid w:val="00735653"/>
    <w:rsid w:val="0077004F"/>
    <w:rsid w:val="00777CD2"/>
    <w:rsid w:val="00785947"/>
    <w:rsid w:val="00786426"/>
    <w:rsid w:val="0079333D"/>
    <w:rsid w:val="007B62AE"/>
    <w:rsid w:val="007C487A"/>
    <w:rsid w:val="007D7D5F"/>
    <w:rsid w:val="007F27A9"/>
    <w:rsid w:val="00813252"/>
    <w:rsid w:val="00846879"/>
    <w:rsid w:val="00863705"/>
    <w:rsid w:val="008A3D01"/>
    <w:rsid w:val="008B044A"/>
    <w:rsid w:val="008E0054"/>
    <w:rsid w:val="009000D3"/>
    <w:rsid w:val="00902CCC"/>
    <w:rsid w:val="009244A5"/>
    <w:rsid w:val="0097757B"/>
    <w:rsid w:val="00A31BD7"/>
    <w:rsid w:val="00A76F69"/>
    <w:rsid w:val="00A848ED"/>
    <w:rsid w:val="00AC3E98"/>
    <w:rsid w:val="00AE31A5"/>
    <w:rsid w:val="00AE7400"/>
    <w:rsid w:val="00B11247"/>
    <w:rsid w:val="00B54F71"/>
    <w:rsid w:val="00B96C39"/>
    <w:rsid w:val="00BA748E"/>
    <w:rsid w:val="00BD6561"/>
    <w:rsid w:val="00C0238A"/>
    <w:rsid w:val="00C1728E"/>
    <w:rsid w:val="00C50BC6"/>
    <w:rsid w:val="00C554ED"/>
    <w:rsid w:val="00C7165F"/>
    <w:rsid w:val="00CB1E3D"/>
    <w:rsid w:val="00CB5FB4"/>
    <w:rsid w:val="00D92805"/>
    <w:rsid w:val="00E274AD"/>
    <w:rsid w:val="00E34260"/>
    <w:rsid w:val="00E65349"/>
    <w:rsid w:val="00E84C92"/>
    <w:rsid w:val="00F961E7"/>
    <w:rsid w:val="022829DC"/>
    <w:rsid w:val="03330CEA"/>
    <w:rsid w:val="03C93A13"/>
    <w:rsid w:val="04DF7572"/>
    <w:rsid w:val="054741BF"/>
    <w:rsid w:val="05635C11"/>
    <w:rsid w:val="056D0D1F"/>
    <w:rsid w:val="05C33AC4"/>
    <w:rsid w:val="05CC4494"/>
    <w:rsid w:val="05F67B7E"/>
    <w:rsid w:val="05FD02DD"/>
    <w:rsid w:val="061D7840"/>
    <w:rsid w:val="07F66E99"/>
    <w:rsid w:val="085D6721"/>
    <w:rsid w:val="093C07D4"/>
    <w:rsid w:val="0B3F3029"/>
    <w:rsid w:val="0B4F3359"/>
    <w:rsid w:val="0C173EB3"/>
    <w:rsid w:val="0C9B55F2"/>
    <w:rsid w:val="0D344C93"/>
    <w:rsid w:val="0D353EED"/>
    <w:rsid w:val="0D971B06"/>
    <w:rsid w:val="10262640"/>
    <w:rsid w:val="10FE773C"/>
    <w:rsid w:val="11170996"/>
    <w:rsid w:val="12A70393"/>
    <w:rsid w:val="13402B15"/>
    <w:rsid w:val="150A3E4E"/>
    <w:rsid w:val="1588601A"/>
    <w:rsid w:val="15B50085"/>
    <w:rsid w:val="1636705B"/>
    <w:rsid w:val="17E515C6"/>
    <w:rsid w:val="18383862"/>
    <w:rsid w:val="18D34516"/>
    <w:rsid w:val="199D42C0"/>
    <w:rsid w:val="1A1D6F5E"/>
    <w:rsid w:val="1A7263A2"/>
    <w:rsid w:val="1AE25FE2"/>
    <w:rsid w:val="1B7426BE"/>
    <w:rsid w:val="1BE0456A"/>
    <w:rsid w:val="1C0E2EC8"/>
    <w:rsid w:val="1C323AB6"/>
    <w:rsid w:val="1CC777B5"/>
    <w:rsid w:val="1D065DE4"/>
    <w:rsid w:val="1E7C3C70"/>
    <w:rsid w:val="1EB06B0E"/>
    <w:rsid w:val="1F42404B"/>
    <w:rsid w:val="1FF33198"/>
    <w:rsid w:val="23215FE6"/>
    <w:rsid w:val="235C0EA9"/>
    <w:rsid w:val="24B174ED"/>
    <w:rsid w:val="255A38EE"/>
    <w:rsid w:val="26A90211"/>
    <w:rsid w:val="27560E02"/>
    <w:rsid w:val="2756114B"/>
    <w:rsid w:val="28F84BEF"/>
    <w:rsid w:val="29CD7333"/>
    <w:rsid w:val="2A771066"/>
    <w:rsid w:val="2B6449A8"/>
    <w:rsid w:val="2DD43411"/>
    <w:rsid w:val="2E946581"/>
    <w:rsid w:val="2F8D691A"/>
    <w:rsid w:val="2FB7085B"/>
    <w:rsid w:val="2FD25609"/>
    <w:rsid w:val="3217777E"/>
    <w:rsid w:val="34C3222F"/>
    <w:rsid w:val="35080673"/>
    <w:rsid w:val="350E769E"/>
    <w:rsid w:val="354102AC"/>
    <w:rsid w:val="3634645C"/>
    <w:rsid w:val="36D22E8B"/>
    <w:rsid w:val="37C07F9E"/>
    <w:rsid w:val="38645492"/>
    <w:rsid w:val="387E5C8A"/>
    <w:rsid w:val="389B5B1F"/>
    <w:rsid w:val="390A578B"/>
    <w:rsid w:val="3B7C4610"/>
    <w:rsid w:val="3B9F72A2"/>
    <w:rsid w:val="3CEF4D8A"/>
    <w:rsid w:val="3D066D9E"/>
    <w:rsid w:val="3E3A2DF3"/>
    <w:rsid w:val="420267DC"/>
    <w:rsid w:val="426B2BF7"/>
    <w:rsid w:val="42FA2C51"/>
    <w:rsid w:val="43045181"/>
    <w:rsid w:val="436E238F"/>
    <w:rsid w:val="44396B45"/>
    <w:rsid w:val="44850A45"/>
    <w:rsid w:val="44D10BE8"/>
    <w:rsid w:val="45146934"/>
    <w:rsid w:val="453B3EF8"/>
    <w:rsid w:val="461C4E94"/>
    <w:rsid w:val="467970EB"/>
    <w:rsid w:val="47884675"/>
    <w:rsid w:val="48177058"/>
    <w:rsid w:val="493E07C0"/>
    <w:rsid w:val="49B65C97"/>
    <w:rsid w:val="4B1C2990"/>
    <w:rsid w:val="4BA25774"/>
    <w:rsid w:val="4C223EB0"/>
    <w:rsid w:val="4C455621"/>
    <w:rsid w:val="4D9E7812"/>
    <w:rsid w:val="4E394BA1"/>
    <w:rsid w:val="4E711836"/>
    <w:rsid w:val="4E7A3BA3"/>
    <w:rsid w:val="4F3D5201"/>
    <w:rsid w:val="506D5769"/>
    <w:rsid w:val="509D08A7"/>
    <w:rsid w:val="509E56C3"/>
    <w:rsid w:val="50AD3BBC"/>
    <w:rsid w:val="52046804"/>
    <w:rsid w:val="52F105E1"/>
    <w:rsid w:val="53696D00"/>
    <w:rsid w:val="5519196F"/>
    <w:rsid w:val="561D6336"/>
    <w:rsid w:val="577A64C4"/>
    <w:rsid w:val="579E0252"/>
    <w:rsid w:val="585C553F"/>
    <w:rsid w:val="586079EA"/>
    <w:rsid w:val="599F27F9"/>
    <w:rsid w:val="59B43518"/>
    <w:rsid w:val="59D276C2"/>
    <w:rsid w:val="5A8F3EA5"/>
    <w:rsid w:val="5AEE4062"/>
    <w:rsid w:val="5BBB71F8"/>
    <w:rsid w:val="5BD104A7"/>
    <w:rsid w:val="5BFF7943"/>
    <w:rsid w:val="5D2A2723"/>
    <w:rsid w:val="5D9378AF"/>
    <w:rsid w:val="5E56345B"/>
    <w:rsid w:val="5F001A99"/>
    <w:rsid w:val="5FA45F8C"/>
    <w:rsid w:val="60020155"/>
    <w:rsid w:val="604F32A9"/>
    <w:rsid w:val="60653934"/>
    <w:rsid w:val="61270118"/>
    <w:rsid w:val="61281C34"/>
    <w:rsid w:val="62024F9D"/>
    <w:rsid w:val="62AF064C"/>
    <w:rsid w:val="63051755"/>
    <w:rsid w:val="63D04A71"/>
    <w:rsid w:val="64D86611"/>
    <w:rsid w:val="659B7D43"/>
    <w:rsid w:val="661A4C30"/>
    <w:rsid w:val="667B5128"/>
    <w:rsid w:val="67946E1E"/>
    <w:rsid w:val="679C52FB"/>
    <w:rsid w:val="67FB2456"/>
    <w:rsid w:val="68830183"/>
    <w:rsid w:val="68D31F2E"/>
    <w:rsid w:val="69DD39EA"/>
    <w:rsid w:val="6AE04A8F"/>
    <w:rsid w:val="6CCA459E"/>
    <w:rsid w:val="6D4D2752"/>
    <w:rsid w:val="6D4D41F1"/>
    <w:rsid w:val="6D64761C"/>
    <w:rsid w:val="6EF75561"/>
    <w:rsid w:val="70701DBA"/>
    <w:rsid w:val="70F52990"/>
    <w:rsid w:val="71293651"/>
    <w:rsid w:val="716D48CC"/>
    <w:rsid w:val="71751DE9"/>
    <w:rsid w:val="71AC7DC5"/>
    <w:rsid w:val="71BB5C90"/>
    <w:rsid w:val="726D7D9F"/>
    <w:rsid w:val="72791693"/>
    <w:rsid w:val="72E272C7"/>
    <w:rsid w:val="739C5A33"/>
    <w:rsid w:val="73A31396"/>
    <w:rsid w:val="749303EB"/>
    <w:rsid w:val="753D071E"/>
    <w:rsid w:val="75563E74"/>
    <w:rsid w:val="75995495"/>
    <w:rsid w:val="771B01C9"/>
    <w:rsid w:val="78BF39FA"/>
    <w:rsid w:val="7956543B"/>
    <w:rsid w:val="7A4C3816"/>
    <w:rsid w:val="7B1F0BD1"/>
    <w:rsid w:val="7B334E2A"/>
    <w:rsid w:val="7B492577"/>
    <w:rsid w:val="7BB00712"/>
    <w:rsid w:val="7BEB3862"/>
    <w:rsid w:val="7D082F5D"/>
    <w:rsid w:val="7E3829D7"/>
    <w:rsid w:val="7E5F61D5"/>
    <w:rsid w:val="7F547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5">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widowControl/>
      <w:spacing w:line="360" w:lineRule="auto"/>
      <w:outlineLvl w:val="2"/>
    </w:pPr>
    <w:rPr>
      <w:b/>
      <w:bCs/>
      <w:kern w:val="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309" w:firstLineChars="100"/>
      <w:outlineLvl w:val="0"/>
    </w:pPr>
    <w:rPr>
      <w:bCs/>
      <w:color w:val="000000"/>
      <w:kern w:val="28"/>
      <w:szCs w:val="21"/>
    </w:rPr>
  </w:style>
  <w:style w:type="paragraph" w:styleId="3">
    <w:name w:val="Body Text"/>
    <w:basedOn w:val="1"/>
    <w:qFormat/>
    <w:uiPriority w:val="0"/>
  </w:style>
  <w:style w:type="paragraph" w:styleId="7">
    <w:name w:val="Plain Text"/>
    <w:basedOn w:val="1"/>
    <w:link w:val="20"/>
    <w:qFormat/>
    <w:uiPriority w:val="0"/>
    <w:rPr>
      <w:rFonts w:ascii="宋体" w:hAnsi="Courier New" w:eastAsia="仿宋_GB2312" w:cs="Times New Roman"/>
      <w:sz w:val="32"/>
      <w:szCs w:val="20"/>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customStyle="1" w:styleId="13">
    <w:name w:val="页眉 Char"/>
    <w:basedOn w:val="12"/>
    <w:link w:val="9"/>
    <w:qFormat/>
    <w:uiPriority w:val="99"/>
    <w:rPr>
      <w:sz w:val="18"/>
      <w:szCs w:val="18"/>
    </w:rPr>
  </w:style>
  <w:style w:type="character" w:customStyle="1" w:styleId="14">
    <w:name w:val="页脚 Char"/>
    <w:basedOn w:val="12"/>
    <w:link w:val="8"/>
    <w:qFormat/>
    <w:uiPriority w:val="99"/>
    <w:rPr>
      <w:sz w:val="18"/>
      <w:szCs w:val="18"/>
    </w:rPr>
  </w:style>
  <w:style w:type="paragraph" w:customStyle="1" w:styleId="15">
    <w:name w:val="BodyText1I"/>
    <w:basedOn w:val="16"/>
    <w:qFormat/>
    <w:uiPriority w:val="0"/>
    <w:pPr>
      <w:spacing w:line="312" w:lineRule="auto"/>
      <w:ind w:firstLine="420"/>
    </w:pPr>
    <w:rPr>
      <w:rFonts w:ascii="Calibri" w:hAnsi="Calibri"/>
    </w:rPr>
  </w:style>
  <w:style w:type="paragraph" w:customStyle="1" w:styleId="16">
    <w:name w:val="BodyText"/>
    <w:basedOn w:val="1"/>
    <w:qFormat/>
    <w:uiPriority w:val="0"/>
    <w:pPr>
      <w:spacing w:after="120"/>
    </w:pPr>
  </w:style>
  <w:style w:type="paragraph" w:customStyle="1" w:styleId="17">
    <w:name w:val="p0"/>
    <w:basedOn w:val="1"/>
    <w:qFormat/>
    <w:uiPriority w:val="0"/>
    <w:pPr>
      <w:widowControl/>
    </w:pPr>
    <w:rPr>
      <w:szCs w:val="21"/>
    </w:rPr>
  </w:style>
  <w:style w:type="paragraph" w:styleId="18">
    <w:name w:val="List Paragraph"/>
    <w:basedOn w:val="1"/>
    <w:qFormat/>
    <w:uiPriority w:val="0"/>
    <w:pPr>
      <w:ind w:firstLine="420" w:firstLineChars="200"/>
    </w:pPr>
    <w:rPr>
      <w:rFonts w:ascii="Calibri" w:hAnsi="Calibri"/>
    </w:rPr>
  </w:style>
  <w:style w:type="character" w:customStyle="1" w:styleId="19">
    <w:name w:val="标题 2 Char"/>
    <w:basedOn w:val="12"/>
    <w:link w:val="5"/>
    <w:semiHidden/>
    <w:qFormat/>
    <w:uiPriority w:val="9"/>
    <w:rPr>
      <w:rFonts w:asciiTheme="majorHAnsi" w:hAnsiTheme="majorHAnsi" w:eastAsiaTheme="majorEastAsia" w:cstheme="majorBidi"/>
      <w:b/>
      <w:bCs/>
      <w:kern w:val="2"/>
      <w:sz w:val="32"/>
      <w:szCs w:val="32"/>
    </w:rPr>
  </w:style>
  <w:style w:type="character" w:customStyle="1" w:styleId="20">
    <w:name w:val="纯文本 Char"/>
    <w:basedOn w:val="12"/>
    <w:link w:val="7"/>
    <w:qFormat/>
    <w:uiPriority w:val="0"/>
    <w:rPr>
      <w:rFonts w:ascii="宋体" w:hAnsi="Courier New" w:eastAsia="仿宋_GB2312"/>
      <w:kern w:val="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873</Words>
  <Characters>4977</Characters>
  <Lines>41</Lines>
  <Paragraphs>11</Paragraphs>
  <TotalTime>2</TotalTime>
  <ScaleCrop>false</ScaleCrop>
  <LinksUpToDate>false</LinksUpToDate>
  <CharactersWithSpaces>5839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2021-03-22T06:07:00Z</dcterms:created>
  <dc:creator>1</dc:creator>
  <cp:lastModifiedBy>Lisa</cp:lastModifiedBy>
  <cp:lastPrinted>2021-03-26T01:46:00Z</cp:lastPrinted>
  <dcterms:modified xsi:type="dcterms:W3CDTF">2021-11-24T03:02:24Z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82BEBE6971E740CDBEE8D244DDCFA829</vt:lpwstr>
  </property>
</Properties>
</file>